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28BE" w14:textId="77777777" w:rsidR="00BB3EF3" w:rsidRDefault="00BB3EF3" w:rsidP="00BB3EF3">
      <w:pPr>
        <w:pStyle w:val="Encabezado"/>
        <w:tabs>
          <w:tab w:val="clear" w:pos="8504"/>
          <w:tab w:val="left" w:pos="8080"/>
        </w:tabs>
        <w:ind w:left="-1134" w:right="-979"/>
        <w:jc w:val="right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</w:p>
    <w:p w14:paraId="1083B7D5" w14:textId="5B4AFB68" w:rsidR="002B2D5B" w:rsidRPr="00BB3EF3" w:rsidRDefault="00BB3EF3" w:rsidP="00BB3EF3">
      <w:pPr>
        <w:pStyle w:val="Encabezado"/>
        <w:tabs>
          <w:tab w:val="clear" w:pos="8504"/>
          <w:tab w:val="left" w:pos="8080"/>
        </w:tabs>
        <w:ind w:left="-1134" w:right="-979"/>
        <w:jc w:val="right"/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</w:pPr>
      <w:r w:rsidRPr="00814287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Madrid, </w:t>
      </w:r>
      <w:r w:rsidR="000928A8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24</w:t>
      </w:r>
      <w:r w:rsidRPr="00814287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 </w:t>
      </w:r>
      <w:r w:rsidR="000928A8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nov</w:t>
      </w:r>
      <w:r w:rsidR="00113E68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>iembre</w:t>
      </w:r>
      <w:r w:rsidRPr="00814287">
        <w:rPr>
          <w:rFonts w:ascii="Lato" w:eastAsia="Times New Roman" w:hAnsi="Lato" w:cs="Times New Roman"/>
          <w:b/>
          <w:bCs/>
          <w:color w:val="000000"/>
          <w:sz w:val="22"/>
          <w:szCs w:val="22"/>
          <w:lang w:eastAsia="es-ES_tradnl"/>
        </w:rPr>
        <w:t xml:space="preserve"> 2017</w:t>
      </w:r>
    </w:p>
    <w:p w14:paraId="2DF7D6E5" w14:textId="77777777" w:rsidR="00BB3EF3" w:rsidRDefault="00BB3EF3" w:rsidP="002B2D5B">
      <w:pPr>
        <w:spacing w:before="100" w:beforeAutospacing="1" w:after="100" w:afterAutospacing="1"/>
        <w:ind w:right="-291"/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5E7DA96C" w14:textId="4170CE6E" w:rsidR="000928A8" w:rsidRPr="007F3084" w:rsidRDefault="000928A8" w:rsidP="000928A8">
      <w:pPr>
        <w:spacing w:before="100" w:beforeAutospacing="1" w:after="100" w:afterAutospacing="1"/>
        <w:ind w:right="-1202"/>
        <w:jc w:val="both"/>
        <w:rPr>
          <w:rFonts w:ascii="Lato" w:hAnsi="Lato" w:cs="Times New Roman"/>
          <w:b/>
          <w:bCs/>
          <w:color w:val="000000"/>
          <w:spacing w:val="-12"/>
          <w:lang w:val="es-ES" w:eastAsia="es-ES_tradnl"/>
        </w:rPr>
      </w:pPr>
      <w:r w:rsidRPr="007F3084">
        <w:rPr>
          <w:rFonts w:ascii="Lato" w:hAnsi="Lato" w:cs="Times New Roman"/>
          <w:b/>
          <w:bCs/>
          <w:color w:val="000000"/>
          <w:spacing w:val="-12"/>
          <w:lang w:val="es-ES" w:eastAsia="es-ES_tradnl"/>
        </w:rPr>
        <w:t xml:space="preserve">Ahora Madrid, PSOE y Ciudadanos votan </w:t>
      </w:r>
      <w:r w:rsidR="00E165CA">
        <w:rPr>
          <w:rFonts w:ascii="Lato" w:hAnsi="Lato" w:cs="Times New Roman"/>
          <w:b/>
          <w:bCs/>
          <w:color w:val="000000"/>
          <w:spacing w:val="-12"/>
          <w:lang w:val="es-ES" w:eastAsia="es-ES_tradnl"/>
        </w:rPr>
        <w:t>a favor del informe</w:t>
      </w:r>
      <w:r w:rsidRPr="007F3084">
        <w:rPr>
          <w:rFonts w:ascii="Lato" w:hAnsi="Lato" w:cs="Times New Roman"/>
          <w:b/>
          <w:bCs/>
          <w:color w:val="000000"/>
          <w:spacing w:val="-12"/>
          <w:lang w:val="es-ES" w:eastAsia="es-ES_tradnl"/>
        </w:rPr>
        <w:t xml:space="preserve"> </w:t>
      </w:r>
    </w:p>
    <w:p w14:paraId="412A15F1" w14:textId="77777777" w:rsidR="000928A8" w:rsidRPr="000928A8" w:rsidRDefault="000928A8" w:rsidP="000928A8">
      <w:pPr>
        <w:spacing w:before="100" w:beforeAutospacing="1" w:after="100" w:afterAutospacing="1"/>
        <w:ind w:right="-1202"/>
        <w:rPr>
          <w:rFonts w:ascii="Lato" w:hAnsi="Lato" w:cs="Times New Roman"/>
          <w:b/>
          <w:bCs/>
          <w:sz w:val="40"/>
          <w:szCs w:val="40"/>
          <w:lang w:eastAsia="es-ES_tradnl"/>
        </w:rPr>
      </w:pPr>
      <w:r w:rsidRPr="000928A8">
        <w:rPr>
          <w:rFonts w:ascii="Lato" w:hAnsi="Lato" w:cs="Times New Roman"/>
          <w:b/>
          <w:bCs/>
          <w:sz w:val="40"/>
          <w:szCs w:val="40"/>
          <w:lang w:eastAsia="es-ES_tradnl"/>
        </w:rPr>
        <w:t>La Comisión de Investigación aprueba el dictamen de Madrid Calle 30</w:t>
      </w:r>
    </w:p>
    <w:p w14:paraId="611402CD" w14:textId="50760F5B" w:rsidR="00E165CA" w:rsidRPr="00E165CA" w:rsidRDefault="00E165CA" w:rsidP="00113E68">
      <w:pPr>
        <w:pStyle w:val="Prrafodelista"/>
        <w:numPr>
          <w:ilvl w:val="0"/>
          <w:numId w:val="5"/>
        </w:numPr>
        <w:spacing w:before="100" w:beforeAutospacing="1" w:after="100" w:afterAutospacing="1"/>
        <w:ind w:right="-1202"/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El dictamen </w:t>
      </w:r>
      <w:r w:rsidRPr="00E165C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recomienda revertir la gestión de la sociedad para que vuelva a ser 100% municipal</w:t>
      </w:r>
    </w:p>
    <w:p w14:paraId="1EFA2EAC" w14:textId="77777777" w:rsidR="00E165CA" w:rsidRDefault="00E165CA" w:rsidP="00113E68">
      <w:pPr>
        <w:pStyle w:val="Prrafodelista"/>
        <w:numPr>
          <w:ilvl w:val="0"/>
          <w:numId w:val="5"/>
        </w:numPr>
        <w:spacing w:before="100" w:beforeAutospacing="1" w:after="100" w:afterAutospacing="1"/>
        <w:ind w:right="-1202"/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</w:pPr>
      <w:r w:rsidRPr="00E165CA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Insta a hacer una auditoría de la</w:t>
      </w: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s certificaciones de obra y otra auditoría</w:t>
      </w:r>
      <w:r w:rsidRPr="00E165CA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ambiental</w:t>
      </w:r>
    </w:p>
    <w:p w14:paraId="57BC4E7C" w14:textId="0E1140C2" w:rsidR="00E165CA" w:rsidRPr="00E165CA" w:rsidRDefault="00EB16C9" w:rsidP="00113E68">
      <w:pPr>
        <w:pStyle w:val="Prrafodelista"/>
        <w:numPr>
          <w:ilvl w:val="0"/>
          <w:numId w:val="5"/>
        </w:numPr>
        <w:spacing w:before="100" w:beforeAutospacing="1" w:after="100" w:afterAutospacing="1"/>
        <w:ind w:right="-1202"/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También </w:t>
      </w:r>
      <w:r w:rsidR="000306C1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indica</w:t>
      </w:r>
      <w:r w:rsidR="00CE5930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qu</w:t>
      </w:r>
      <w:r w:rsidR="00E165CA" w:rsidRPr="00E165CA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e el coste de la luz recaiga en el </w:t>
      </w:r>
      <w:r w:rsidR="00E165CA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socio </w:t>
      </w:r>
      <w:r w:rsidR="00E165CA" w:rsidRPr="00E165CA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>privado</w:t>
      </w:r>
      <w:r w:rsidR="00E165CA">
        <w:rPr>
          <w:rFonts w:ascii="Lato" w:hAnsi="Lato" w:cs="Times New Roman"/>
          <w:b/>
          <w:bCs/>
          <w:color w:val="000000"/>
          <w:sz w:val="20"/>
          <w:szCs w:val="20"/>
          <w:lang w:eastAsia="es-ES_tradnl"/>
        </w:rPr>
        <w:t xml:space="preserve"> de la actual sociedad mixta</w:t>
      </w:r>
    </w:p>
    <w:p w14:paraId="08D076DF" w14:textId="77777777" w:rsidR="000928A8" w:rsidRPr="000E24AD" w:rsidRDefault="000928A8" w:rsidP="000928A8">
      <w:pPr>
        <w:pStyle w:val="Prrafodelista"/>
        <w:spacing w:before="100" w:beforeAutospacing="1" w:after="100" w:afterAutospacing="1"/>
        <w:ind w:right="-1202"/>
        <w:jc w:val="both"/>
        <w:rPr>
          <w:rFonts w:ascii="Lato" w:hAnsi="Lato" w:cs="Times New Roman"/>
          <w:color w:val="000000"/>
          <w:lang w:eastAsia="es-ES_tradnl"/>
        </w:rPr>
      </w:pPr>
    </w:p>
    <w:p w14:paraId="2A123AA2" w14:textId="669BA1B1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 w:cs="Times New Roman"/>
          <w:color w:val="000000"/>
          <w:lang w:eastAsia="es-ES_tradnl"/>
        </w:rPr>
      </w:pPr>
      <w:r w:rsidRPr="00394B74">
        <w:rPr>
          <w:rFonts w:ascii="Lato" w:hAnsi="Lato" w:cs="Times New Roman"/>
          <w:color w:val="000000"/>
          <w:lang w:eastAsia="es-ES_tradnl"/>
        </w:rPr>
        <w:t xml:space="preserve">La Comisión no permanente de Investigación del Ayuntamiento de Madrid </w:t>
      </w:r>
      <w:r w:rsidR="000B4458">
        <w:rPr>
          <w:rFonts w:ascii="Lato" w:hAnsi="Lato" w:cs="Times New Roman"/>
          <w:color w:val="000000"/>
          <w:lang w:eastAsia="es-ES_tradnl"/>
        </w:rPr>
        <w:t>sobre</w:t>
      </w:r>
      <w:r w:rsidRPr="00394B74">
        <w:rPr>
          <w:rFonts w:ascii="Lato" w:hAnsi="Lato" w:cs="Times New Roman"/>
          <w:color w:val="000000"/>
          <w:lang w:eastAsia="es-ES_tradnl"/>
        </w:rPr>
        <w:t xml:space="preserve"> la situación económico-financiera de la empresa mixta Madrid Calle 30 y su incidencia </w:t>
      </w:r>
      <w:r w:rsidR="000B4458">
        <w:rPr>
          <w:rFonts w:ascii="Lato" w:hAnsi="Lato" w:cs="Times New Roman"/>
          <w:color w:val="000000"/>
          <w:lang w:eastAsia="es-ES_tradnl"/>
        </w:rPr>
        <w:t>en las cuen</w:t>
      </w:r>
      <w:r w:rsidR="00E165CA">
        <w:rPr>
          <w:rFonts w:ascii="Lato" w:hAnsi="Lato" w:cs="Times New Roman"/>
          <w:color w:val="000000"/>
          <w:lang w:eastAsia="es-ES_tradnl"/>
        </w:rPr>
        <w:t>tas municipales ha concluido este viernes</w:t>
      </w:r>
      <w:r w:rsidR="00113E68">
        <w:rPr>
          <w:rFonts w:ascii="Lato" w:hAnsi="Lato" w:cs="Times New Roman"/>
          <w:color w:val="000000"/>
          <w:lang w:eastAsia="es-ES_tradnl"/>
        </w:rPr>
        <w:t>, 24 de noviembre,</w:t>
      </w:r>
      <w:r w:rsidR="000B4458">
        <w:rPr>
          <w:rFonts w:ascii="Lato" w:hAnsi="Lato" w:cs="Times New Roman"/>
          <w:color w:val="000000"/>
          <w:lang w:eastAsia="es-ES_tradnl"/>
        </w:rPr>
        <w:t xml:space="preserve"> con la presentación del </w:t>
      </w:r>
      <w:r w:rsidRPr="00394B74">
        <w:rPr>
          <w:rFonts w:ascii="Lato" w:hAnsi="Lato" w:cs="Times New Roman"/>
          <w:color w:val="000000"/>
          <w:lang w:eastAsia="es-ES_tradnl"/>
        </w:rPr>
        <w:t xml:space="preserve">dictamen, que será asumido por el equipo de Gobierno y elevado al Pleno </w:t>
      </w:r>
      <w:r w:rsidR="000C721D">
        <w:rPr>
          <w:rFonts w:ascii="Lato" w:hAnsi="Lato" w:cs="Times New Roman"/>
          <w:color w:val="000000"/>
          <w:lang w:eastAsia="es-ES_tradnl"/>
        </w:rPr>
        <w:t xml:space="preserve">del próximo día 29 de noviembre </w:t>
      </w:r>
      <w:r w:rsidRPr="00394B74">
        <w:rPr>
          <w:rFonts w:ascii="Lato" w:hAnsi="Lato" w:cs="Times New Roman"/>
          <w:color w:val="000000"/>
          <w:lang w:eastAsia="es-ES_tradnl"/>
        </w:rPr>
        <w:t>para su aprobación. El inform</w:t>
      </w:r>
      <w:r w:rsidR="00896325">
        <w:rPr>
          <w:rFonts w:ascii="Lato" w:hAnsi="Lato" w:cs="Times New Roman"/>
          <w:color w:val="000000"/>
          <w:lang w:eastAsia="es-ES_tradnl"/>
        </w:rPr>
        <w:t>e</w:t>
      </w:r>
      <w:r w:rsidRPr="00394B74">
        <w:rPr>
          <w:rFonts w:ascii="Lato" w:hAnsi="Lato" w:cs="Times New Roman"/>
          <w:color w:val="000000"/>
          <w:lang w:eastAsia="es-ES_tradnl"/>
        </w:rPr>
        <w:t xml:space="preserve"> ha contado con los votos </w:t>
      </w:r>
      <w:r w:rsidR="00341D47">
        <w:rPr>
          <w:rFonts w:ascii="Lato" w:hAnsi="Lato" w:cs="Times New Roman"/>
          <w:color w:val="000000"/>
          <w:lang w:eastAsia="es-ES_tradnl"/>
        </w:rPr>
        <w:t xml:space="preserve">a favor </w:t>
      </w:r>
      <w:r w:rsidRPr="00394B74">
        <w:rPr>
          <w:rFonts w:ascii="Lato" w:hAnsi="Lato" w:cs="Times New Roman"/>
          <w:color w:val="000000"/>
          <w:lang w:eastAsia="es-ES_tradnl"/>
        </w:rPr>
        <w:t>de A</w:t>
      </w:r>
      <w:r w:rsidR="00E165CA">
        <w:rPr>
          <w:rFonts w:ascii="Lato" w:hAnsi="Lato" w:cs="Times New Roman"/>
          <w:color w:val="000000"/>
          <w:lang w:eastAsia="es-ES_tradnl"/>
        </w:rPr>
        <w:t>hora Madrid, PSOE y Ciudadanos</w:t>
      </w:r>
      <w:r w:rsidR="00896325">
        <w:rPr>
          <w:rFonts w:ascii="Lato" w:hAnsi="Lato" w:cs="Times New Roman"/>
          <w:color w:val="000000"/>
          <w:lang w:eastAsia="es-ES_tradnl"/>
        </w:rPr>
        <w:t>.</w:t>
      </w:r>
    </w:p>
    <w:p w14:paraId="18602A00" w14:textId="177A06C0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 w:cs="Times New Roman"/>
          <w:color w:val="000000"/>
          <w:lang w:eastAsia="es-ES_tradnl"/>
        </w:rPr>
      </w:pPr>
      <w:r w:rsidRPr="00394B74">
        <w:rPr>
          <w:rFonts w:ascii="Lato" w:hAnsi="Lato" w:cs="Times New Roman"/>
          <w:color w:val="000000"/>
          <w:lang w:eastAsia="es-ES_tradnl"/>
        </w:rPr>
        <w:t xml:space="preserve">Entre las recomendaciones más destacadas figura la propuesta de revertir el modelo de gestión de la </w:t>
      </w:r>
      <w:r w:rsidR="00E165CA">
        <w:rPr>
          <w:rFonts w:ascii="Lato" w:hAnsi="Lato" w:cs="Times New Roman"/>
          <w:color w:val="000000"/>
          <w:lang w:eastAsia="es-ES_tradnl"/>
        </w:rPr>
        <w:t>actual sociedad mixta para que sea</w:t>
      </w:r>
      <w:r w:rsidRPr="00394B74">
        <w:rPr>
          <w:rFonts w:ascii="Lato" w:hAnsi="Lato" w:cs="Times New Roman"/>
          <w:color w:val="000000"/>
          <w:lang w:eastAsia="es-ES_tradnl"/>
        </w:rPr>
        <w:t xml:space="preserve"> </w:t>
      </w:r>
      <w:r w:rsidR="00E165CA">
        <w:rPr>
          <w:rFonts w:ascii="Lato" w:hAnsi="Lato" w:cs="Times New Roman"/>
          <w:color w:val="000000"/>
          <w:lang w:eastAsia="es-ES_tradnl"/>
        </w:rPr>
        <w:t xml:space="preserve">enteramente </w:t>
      </w:r>
      <w:r w:rsidRPr="00394B74">
        <w:rPr>
          <w:rFonts w:ascii="Lato" w:hAnsi="Lato" w:cs="Times New Roman"/>
          <w:color w:val="000000"/>
          <w:lang w:eastAsia="es-ES_tradnl"/>
        </w:rPr>
        <w:t>municipal</w:t>
      </w:r>
      <w:r w:rsidR="00E165CA">
        <w:rPr>
          <w:rFonts w:ascii="Lato" w:hAnsi="Lato" w:cs="Times New Roman"/>
          <w:color w:val="000000"/>
          <w:lang w:eastAsia="es-ES_tradnl"/>
        </w:rPr>
        <w:t xml:space="preserve">. </w:t>
      </w:r>
      <w:r w:rsidR="0066290E">
        <w:rPr>
          <w:rFonts w:ascii="Lato" w:hAnsi="Lato" w:cs="Times New Roman"/>
          <w:color w:val="000000"/>
          <w:lang w:eastAsia="es-ES_tradnl"/>
        </w:rPr>
        <w:t xml:space="preserve">Aconseja </w:t>
      </w:r>
      <w:r w:rsidRPr="00394B74">
        <w:rPr>
          <w:rFonts w:ascii="Lato" w:hAnsi="Lato" w:cs="Times New Roman"/>
          <w:color w:val="000000"/>
          <w:lang w:eastAsia="es-ES_tradnl"/>
        </w:rPr>
        <w:t xml:space="preserve">un minucioso control sobre el mantenimiento y la explotación de la infraestructura. </w:t>
      </w:r>
    </w:p>
    <w:p w14:paraId="78A0F5B6" w14:textId="55B8293D" w:rsidR="00973733" w:rsidRPr="00394B74" w:rsidRDefault="00E165CA" w:rsidP="00113E68">
      <w:pPr>
        <w:spacing w:before="100" w:beforeAutospacing="1" w:after="100" w:afterAutospacing="1"/>
        <w:ind w:right="-1202"/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M</w:t>
      </w:r>
      <w:r w:rsidR="000928A8" w:rsidRPr="00394B74">
        <w:rPr>
          <w:rFonts w:ascii="Lato" w:hAnsi="Lato" w:cs="Times New Roman"/>
          <w:color w:val="000000"/>
          <w:lang w:eastAsia="es-ES_tradnl"/>
        </w:rPr>
        <w:t>ientras se materia</w:t>
      </w:r>
      <w:r>
        <w:rPr>
          <w:rFonts w:ascii="Lato" w:hAnsi="Lato" w:cs="Times New Roman"/>
          <w:color w:val="000000"/>
          <w:lang w:eastAsia="es-ES_tradnl"/>
        </w:rPr>
        <w:t>lizan los cambios planteados, el dictamen de la</w:t>
      </w:r>
      <w:r w:rsidR="000928A8" w:rsidRPr="00394B74">
        <w:rPr>
          <w:rFonts w:ascii="Lato" w:hAnsi="Lato" w:cs="Times New Roman"/>
          <w:color w:val="000000"/>
          <w:lang w:eastAsia="es-ES_tradnl"/>
        </w:rPr>
        <w:t xml:space="preserve"> Comisión insta</w:t>
      </w:r>
      <w:r w:rsidR="00714262">
        <w:rPr>
          <w:rFonts w:ascii="Lato" w:hAnsi="Lato" w:cs="Times New Roman"/>
          <w:color w:val="000000"/>
          <w:lang w:eastAsia="es-ES_tradnl"/>
        </w:rPr>
        <w:t>, entre otras medidas,</w:t>
      </w:r>
      <w:r w:rsidR="000928A8" w:rsidRPr="00394B74">
        <w:rPr>
          <w:rFonts w:ascii="Lato" w:hAnsi="Lato" w:cs="Times New Roman"/>
          <w:color w:val="000000"/>
          <w:lang w:eastAsia="es-ES_tradnl"/>
        </w:rPr>
        <w:t xml:space="preserve"> a que se elabore una completa auditoría de las certificaciones de obra, as</w:t>
      </w:r>
      <w:r w:rsidR="0066290E">
        <w:rPr>
          <w:rFonts w:ascii="Lato" w:hAnsi="Lato" w:cs="Times New Roman"/>
          <w:color w:val="000000"/>
          <w:lang w:eastAsia="es-ES_tradnl"/>
        </w:rPr>
        <w:t>í como una auditoría ambiental. Recomienda</w:t>
      </w:r>
      <w:r w:rsidR="00E803D0">
        <w:rPr>
          <w:rFonts w:ascii="Lato" w:hAnsi="Lato" w:cs="Times New Roman"/>
          <w:color w:val="000000"/>
          <w:lang w:eastAsia="es-ES_tradnl"/>
        </w:rPr>
        <w:t>,</w:t>
      </w:r>
      <w:r w:rsidR="0066290E">
        <w:rPr>
          <w:rFonts w:ascii="Lato" w:hAnsi="Lato" w:cs="Times New Roman"/>
          <w:color w:val="000000"/>
          <w:lang w:eastAsia="es-ES_tradnl"/>
        </w:rPr>
        <w:t xml:space="preserve"> además</w:t>
      </w:r>
      <w:r w:rsidR="00E803D0">
        <w:rPr>
          <w:rFonts w:ascii="Lato" w:hAnsi="Lato" w:cs="Times New Roman"/>
          <w:color w:val="000000"/>
          <w:lang w:eastAsia="es-ES_tradnl"/>
        </w:rPr>
        <w:t>,</w:t>
      </w:r>
      <w:r w:rsidR="0066290E">
        <w:rPr>
          <w:rFonts w:ascii="Lato" w:hAnsi="Lato" w:cs="Times New Roman"/>
          <w:color w:val="000000"/>
          <w:lang w:eastAsia="es-ES_tradnl"/>
        </w:rPr>
        <w:t xml:space="preserve"> que se inicien</w:t>
      </w:r>
      <w:r w:rsidR="000928A8" w:rsidRPr="00394B74">
        <w:rPr>
          <w:rFonts w:ascii="Lato" w:hAnsi="Lato" w:cs="Times New Roman"/>
          <w:color w:val="000000"/>
          <w:lang w:eastAsia="es-ES_tradnl"/>
        </w:rPr>
        <w:t xml:space="preserve"> los trámites necesarios para que el coste de la factura de la </w:t>
      </w:r>
      <w:r w:rsidR="0066290E">
        <w:rPr>
          <w:rFonts w:ascii="Lato" w:hAnsi="Lato" w:cs="Times New Roman"/>
          <w:color w:val="000000"/>
          <w:lang w:eastAsia="es-ES_tradnl"/>
        </w:rPr>
        <w:t>luz recaiga en el socio privado y que se regulen</w:t>
      </w:r>
      <w:r w:rsidR="000928A8" w:rsidRPr="00394B74">
        <w:rPr>
          <w:rFonts w:ascii="Lato" w:hAnsi="Lato" w:cs="Times New Roman"/>
          <w:color w:val="000000"/>
          <w:lang w:eastAsia="es-ES_tradnl"/>
        </w:rPr>
        <w:t xml:space="preserve"> las condiciones del acceso a la licitación de las empresas vinculadas con el socio privado. </w:t>
      </w:r>
      <w:r w:rsidR="00973733">
        <w:rPr>
          <w:rFonts w:ascii="Lato" w:hAnsi="Lato" w:cs="Times New Roman"/>
          <w:color w:val="000000"/>
          <w:lang w:eastAsia="es-ES_tradnl"/>
        </w:rPr>
        <w:t xml:space="preserve">También pide que el personal de dirección de la empresa Madrid Calle 30 sea designado por el Ayuntamiento y no por las empresas privadas; </w:t>
      </w:r>
      <w:r w:rsidR="00714262">
        <w:rPr>
          <w:rFonts w:ascii="Lato" w:hAnsi="Lato" w:cs="Times New Roman"/>
          <w:color w:val="000000"/>
          <w:lang w:eastAsia="es-ES_tradnl"/>
        </w:rPr>
        <w:t xml:space="preserve">y </w:t>
      </w:r>
      <w:r w:rsidR="00973733">
        <w:rPr>
          <w:rFonts w:ascii="Lato" w:hAnsi="Lato" w:cs="Times New Roman"/>
          <w:color w:val="000000"/>
          <w:lang w:eastAsia="es-ES_tradnl"/>
        </w:rPr>
        <w:t>que se cuantifique el perjuicio</w:t>
      </w:r>
      <w:r w:rsidR="00354583">
        <w:rPr>
          <w:rFonts w:ascii="Lato" w:hAnsi="Lato" w:cs="Times New Roman"/>
          <w:color w:val="000000"/>
          <w:lang w:eastAsia="es-ES_tradnl"/>
        </w:rPr>
        <w:t>, en términos económicos, que se haya producido en el erario público municipal como consecuencia de las irregularidades detectadas desde que comenzó la obra de soterramiento</w:t>
      </w:r>
      <w:r w:rsidR="00973733">
        <w:rPr>
          <w:rFonts w:ascii="Lato" w:hAnsi="Lato" w:cs="Times New Roman"/>
          <w:color w:val="000000"/>
          <w:lang w:eastAsia="es-ES_tradnl"/>
        </w:rPr>
        <w:t>.</w:t>
      </w:r>
    </w:p>
    <w:p w14:paraId="7495F9C5" w14:textId="77777777" w:rsidR="00113E68" w:rsidRDefault="000928A8" w:rsidP="00113E68">
      <w:pPr>
        <w:spacing w:after="80"/>
        <w:ind w:right="-1202"/>
        <w:rPr>
          <w:rFonts w:ascii="Lato" w:hAnsi="Lato" w:cs="Times New Roman"/>
          <w:b/>
          <w:color w:val="000000"/>
          <w:lang w:eastAsia="es-ES_tradnl"/>
        </w:rPr>
      </w:pPr>
      <w:r w:rsidRPr="00394B74">
        <w:rPr>
          <w:rFonts w:ascii="Lato" w:hAnsi="Lato" w:cs="Times New Roman"/>
          <w:b/>
          <w:color w:val="000000"/>
          <w:lang w:eastAsia="es-ES_tradnl"/>
        </w:rPr>
        <w:t xml:space="preserve">Conclusiones </w:t>
      </w:r>
    </w:p>
    <w:p w14:paraId="0CF7298A" w14:textId="389BF91F" w:rsidR="000928A8" w:rsidRPr="00394B74" w:rsidRDefault="000928A8" w:rsidP="00113E68">
      <w:pPr>
        <w:spacing w:after="80"/>
        <w:ind w:right="-1202"/>
        <w:rPr>
          <w:rFonts w:ascii="Lato" w:hAnsi="Lato" w:cs="Times New Roman"/>
          <w:color w:val="000000"/>
          <w:lang w:eastAsia="es-ES_tradnl"/>
        </w:rPr>
      </w:pPr>
      <w:r w:rsidRPr="00394B74">
        <w:rPr>
          <w:rFonts w:ascii="Lato" w:hAnsi="Lato" w:cs="Times New Roman"/>
          <w:color w:val="000000"/>
          <w:lang w:eastAsia="es-ES_tradnl"/>
        </w:rPr>
        <w:t>Entre las conclusiones más destacadas del dictamen figuran las siguientes:</w:t>
      </w:r>
    </w:p>
    <w:p w14:paraId="01015167" w14:textId="76492767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 xml:space="preserve">1.- Las </w:t>
      </w:r>
      <w:r w:rsidR="0066290E">
        <w:rPr>
          <w:rFonts w:ascii="Lato" w:hAnsi="Lato"/>
        </w:rPr>
        <w:t>obras registraron ilegalidades</w:t>
      </w:r>
      <w:r w:rsidRPr="00394B74">
        <w:rPr>
          <w:rFonts w:ascii="Lato" w:hAnsi="Lato"/>
        </w:rPr>
        <w:t xml:space="preserve"> y así fue dictaminado por juzgados de todas las instancias a tenor de la ausencia de la obligatoria Evaluación de</w:t>
      </w:r>
      <w:r w:rsidR="0066290E">
        <w:rPr>
          <w:rFonts w:ascii="Lato" w:hAnsi="Lato"/>
        </w:rPr>
        <w:t xml:space="preserve"> Impacto Ambiental.  Que no </w:t>
      </w:r>
      <w:r w:rsidR="0066290E">
        <w:rPr>
          <w:rFonts w:ascii="Lato" w:hAnsi="Lato"/>
        </w:rPr>
        <w:lastRenderedPageBreak/>
        <w:t xml:space="preserve">se realizara </w:t>
      </w:r>
      <w:r w:rsidR="00E24FEA">
        <w:rPr>
          <w:rFonts w:ascii="Lato" w:hAnsi="Lato"/>
        </w:rPr>
        <w:t xml:space="preserve">no podía tener otra finalidad que </w:t>
      </w:r>
      <w:r w:rsidRPr="00394B74">
        <w:rPr>
          <w:rFonts w:ascii="Lato" w:hAnsi="Lato"/>
        </w:rPr>
        <w:t xml:space="preserve">acelerar los plazos y poder inaugurar las obras antes de las elecciones del año 2007. </w:t>
      </w:r>
    </w:p>
    <w:p w14:paraId="2A9C8DB9" w14:textId="66CDB48A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 xml:space="preserve">2.- </w:t>
      </w:r>
      <w:r w:rsidR="0066290E">
        <w:rPr>
          <w:rFonts w:ascii="Lato" w:hAnsi="Lato"/>
        </w:rPr>
        <w:t>Se registró f</w:t>
      </w:r>
      <w:r w:rsidRPr="00394B74">
        <w:rPr>
          <w:rFonts w:ascii="Lato" w:hAnsi="Lato"/>
        </w:rPr>
        <w:t xml:space="preserve">alta de transparencia en todas las fases de creación de la sociedad, transformación en empresa mixta, tramitación de las obras, ejecución de las mismas y adjudicación y control del contrato de mantenimiento.  </w:t>
      </w:r>
    </w:p>
    <w:p w14:paraId="52F5B99D" w14:textId="626431E7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 xml:space="preserve">3.- El equipo de Gobierno del exalcalde Alberto Ruiz </w:t>
      </w:r>
      <w:r w:rsidR="00871BF0">
        <w:rPr>
          <w:rFonts w:ascii="Lato" w:hAnsi="Lato"/>
        </w:rPr>
        <w:t xml:space="preserve">Gallardón es responsable de la elección </w:t>
      </w:r>
      <w:r w:rsidRPr="00394B74">
        <w:rPr>
          <w:rFonts w:ascii="Lato" w:hAnsi="Lato"/>
        </w:rPr>
        <w:t xml:space="preserve">de un modelo de gestión lesivo </w:t>
      </w:r>
      <w:r w:rsidR="00871BF0">
        <w:rPr>
          <w:rFonts w:ascii="Lato" w:hAnsi="Lato"/>
        </w:rPr>
        <w:t xml:space="preserve">e ineficiente, como ha señalado la Cámara de Cuentas de la Comunidad, </w:t>
      </w:r>
      <w:r w:rsidRPr="00394B74">
        <w:rPr>
          <w:rFonts w:ascii="Lato" w:hAnsi="Lato"/>
        </w:rPr>
        <w:t xml:space="preserve">para la ciudad de Madrid. </w:t>
      </w:r>
    </w:p>
    <w:p w14:paraId="37DEA559" w14:textId="411A4E33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>4.- La elección del modelo de gestión de l</w:t>
      </w:r>
      <w:r w:rsidR="0066290E">
        <w:rPr>
          <w:rFonts w:ascii="Lato" w:hAnsi="Lato"/>
        </w:rPr>
        <w:t xml:space="preserve">a sociedad </w:t>
      </w:r>
      <w:r w:rsidR="00A94ABD">
        <w:rPr>
          <w:rFonts w:ascii="Lato" w:hAnsi="Lato"/>
        </w:rPr>
        <w:t xml:space="preserve">no respondió al principio de seguridad jurídica, eficacia, eficiencia y transparencia. El </w:t>
      </w:r>
      <w:r w:rsidRPr="00394B74">
        <w:rPr>
          <w:rFonts w:ascii="Lato" w:hAnsi="Lato"/>
        </w:rPr>
        <w:t>intento de ocultar</w:t>
      </w:r>
      <w:r w:rsidR="00A94ABD">
        <w:rPr>
          <w:rFonts w:ascii="Lato" w:hAnsi="Lato"/>
        </w:rPr>
        <w:t xml:space="preserve"> los sobrecostes y</w:t>
      </w:r>
      <w:r w:rsidRPr="00394B74">
        <w:rPr>
          <w:rFonts w:ascii="Lato" w:hAnsi="Lato"/>
        </w:rPr>
        <w:t xml:space="preserve"> la deuda producida por la</w:t>
      </w:r>
      <w:r w:rsidR="00A94ABD">
        <w:rPr>
          <w:rFonts w:ascii="Lato" w:hAnsi="Lato"/>
        </w:rPr>
        <w:t>s obras resulta la única causa razonable de dicha elección.</w:t>
      </w:r>
    </w:p>
    <w:p w14:paraId="737A194D" w14:textId="77777777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 xml:space="preserve">5. El modelo de gestión es ruinoso para las arcas municipales; garantiza el beneficio de las empresas privadas adjudicatarias de un contrato blindado hasta el año 2025 y prorrogado hasta el año 2040. La rentabilidad del socio está blindada al ser inherente al modelo económico elegido para la sociedad de economía mixta. </w:t>
      </w:r>
    </w:p>
    <w:p w14:paraId="2E29943D" w14:textId="77777777" w:rsidR="000928A8" w:rsidRPr="00394B74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 xml:space="preserve">6.- Las certificaciones de obra no siguieron una tramitación transparente ni rigurosa existiendo numerosas anomalías cuando no irregularidades en su emisión y abono. </w:t>
      </w:r>
    </w:p>
    <w:p w14:paraId="7B8A7FBF" w14:textId="77777777" w:rsidR="00882AE3" w:rsidRDefault="000928A8" w:rsidP="00113E68">
      <w:pPr>
        <w:spacing w:before="100" w:beforeAutospacing="1" w:after="100" w:afterAutospacing="1"/>
        <w:ind w:right="-1202"/>
        <w:rPr>
          <w:rFonts w:ascii="Lato" w:hAnsi="Lato"/>
        </w:rPr>
      </w:pPr>
      <w:r w:rsidRPr="00394B74">
        <w:rPr>
          <w:rFonts w:ascii="Lato" w:hAnsi="Lato"/>
        </w:rPr>
        <w:t xml:space="preserve">7. -La tramitación de algunos proyectos complementarios fue irregular al concentrar, en alguno de ellos, las instalaciones de otros proyectos distintos al que complementa. </w:t>
      </w:r>
    </w:p>
    <w:p w14:paraId="08DB3696" w14:textId="604A9FB0" w:rsidR="00882AE3" w:rsidRPr="00882AE3" w:rsidRDefault="00882AE3" w:rsidP="00113E68">
      <w:pPr>
        <w:spacing w:before="100" w:beforeAutospacing="1" w:after="100" w:afterAutospacing="1"/>
        <w:ind w:right="-1202"/>
        <w:rPr>
          <w:rFonts w:ascii="Lato" w:hAnsi="Lato"/>
        </w:rPr>
      </w:pPr>
      <w:r>
        <w:rPr>
          <w:rFonts w:ascii="Lato" w:hAnsi="Lato"/>
        </w:rPr>
        <w:t xml:space="preserve">8.- </w:t>
      </w:r>
      <w:r w:rsidRPr="00882AE3">
        <w:rPr>
          <w:rFonts w:ascii="Lato" w:hAnsi="Lato"/>
        </w:rPr>
        <w:t>La celeridad en la finalización de las obras, la falta de tramitación de la Evaluación de Impacto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Ambiental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y</w:t>
      </w:r>
      <w:r w:rsidRPr="00882AE3">
        <w:rPr>
          <w:rFonts w:ascii="Lato" w:hAnsi="Lato"/>
          <w:spacing w:val="-3"/>
        </w:rPr>
        <w:t xml:space="preserve"> </w:t>
      </w:r>
      <w:r w:rsidRPr="00882AE3">
        <w:rPr>
          <w:rFonts w:ascii="Lato" w:hAnsi="Lato"/>
        </w:rPr>
        <w:t>los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constantes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cambios</w:t>
      </w:r>
      <w:r w:rsidRPr="00882AE3">
        <w:rPr>
          <w:rFonts w:ascii="Lato" w:hAnsi="Lato"/>
          <w:spacing w:val="-2"/>
        </w:rPr>
        <w:t xml:space="preserve"> </w:t>
      </w:r>
      <w:r w:rsidRPr="00882AE3">
        <w:rPr>
          <w:rFonts w:ascii="Lato" w:hAnsi="Lato"/>
        </w:rPr>
        <w:t>en</w:t>
      </w:r>
      <w:r w:rsidRPr="00882AE3">
        <w:rPr>
          <w:rFonts w:ascii="Lato" w:hAnsi="Lato"/>
          <w:spacing w:val="-4"/>
        </w:rPr>
        <w:t xml:space="preserve"> </w:t>
      </w:r>
      <w:r w:rsidRPr="00882AE3">
        <w:rPr>
          <w:rFonts w:ascii="Lato" w:hAnsi="Lato"/>
        </w:rPr>
        <w:t>los</w:t>
      </w:r>
      <w:r w:rsidRPr="00882AE3">
        <w:rPr>
          <w:rFonts w:ascii="Lato" w:hAnsi="Lato"/>
          <w:spacing w:val="-2"/>
        </w:rPr>
        <w:t xml:space="preserve"> </w:t>
      </w:r>
      <w:r w:rsidRPr="00882AE3">
        <w:rPr>
          <w:rFonts w:ascii="Lato" w:hAnsi="Lato"/>
        </w:rPr>
        <w:t>proyectos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por</w:t>
      </w:r>
      <w:r w:rsidRPr="00882AE3">
        <w:rPr>
          <w:rFonts w:ascii="Lato" w:hAnsi="Lato"/>
          <w:spacing w:val="-4"/>
        </w:rPr>
        <w:t xml:space="preserve"> </w:t>
      </w:r>
      <w:r w:rsidRPr="00882AE3">
        <w:rPr>
          <w:rFonts w:ascii="Lato" w:hAnsi="Lato"/>
        </w:rPr>
        <w:t>la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falta</w:t>
      </w:r>
      <w:r w:rsidRPr="00882AE3">
        <w:rPr>
          <w:rFonts w:ascii="Lato" w:hAnsi="Lato"/>
          <w:spacing w:val="-7"/>
        </w:rPr>
        <w:t xml:space="preserve"> </w:t>
      </w:r>
      <w:r w:rsidRPr="00882AE3">
        <w:rPr>
          <w:rFonts w:ascii="Lato" w:hAnsi="Lato"/>
        </w:rPr>
        <w:t>de</w:t>
      </w:r>
      <w:r w:rsidRPr="00882AE3">
        <w:rPr>
          <w:rFonts w:ascii="Lato" w:hAnsi="Lato"/>
          <w:spacing w:val="-5"/>
        </w:rPr>
        <w:t xml:space="preserve"> </w:t>
      </w:r>
      <w:r w:rsidRPr="00882AE3">
        <w:rPr>
          <w:rFonts w:ascii="Lato" w:hAnsi="Lato"/>
        </w:rPr>
        <w:t>concreción y estudio de los proyectos originales supusieron un grave perjuicio para la situación económica del Ayuntamiento de Madrid</w:t>
      </w:r>
      <w:r w:rsidR="00113E68">
        <w:rPr>
          <w:rFonts w:ascii="Lato" w:hAnsi="Lato"/>
        </w:rPr>
        <w:t>.</w:t>
      </w:r>
    </w:p>
    <w:p w14:paraId="0E743C0B" w14:textId="69031E7D" w:rsidR="000928A8" w:rsidRPr="00394B74" w:rsidRDefault="00882AE3" w:rsidP="00113E68">
      <w:pPr>
        <w:spacing w:before="100" w:beforeAutospacing="1" w:after="100" w:afterAutospacing="1"/>
        <w:ind w:right="-1202"/>
        <w:rPr>
          <w:rFonts w:ascii="Lato" w:hAnsi="Lato"/>
        </w:rPr>
      </w:pPr>
      <w:r>
        <w:rPr>
          <w:rFonts w:ascii="Lato" w:hAnsi="Lato"/>
        </w:rPr>
        <w:t>9</w:t>
      </w:r>
      <w:r w:rsidR="000928A8" w:rsidRPr="00394B74">
        <w:rPr>
          <w:rFonts w:ascii="Lato" w:hAnsi="Lato"/>
        </w:rPr>
        <w:t>.- La falta de transparencia de EMESA en la gestión y explotación de la infraestructura ha quedado acreditada en varias ocasiones (ocultación de datos, acceso limitado a los trabajadores de Madrid Calle 30 a los sistemas de mantenimiento…)</w:t>
      </w:r>
      <w:r w:rsidR="009D0701" w:rsidRPr="00394B74">
        <w:rPr>
          <w:rFonts w:ascii="Lato" w:hAnsi="Lato"/>
        </w:rPr>
        <w:t>.</w:t>
      </w:r>
    </w:p>
    <w:p w14:paraId="1C302BC5" w14:textId="4C5C68D9" w:rsidR="000928A8" w:rsidRPr="00394B74" w:rsidRDefault="00882AE3" w:rsidP="00113E68">
      <w:pPr>
        <w:spacing w:before="100" w:beforeAutospacing="1" w:after="100" w:afterAutospacing="1"/>
        <w:ind w:right="-1202"/>
        <w:rPr>
          <w:rFonts w:ascii="Lato" w:hAnsi="Lato" w:cs="Times New Roman"/>
        </w:rPr>
      </w:pPr>
      <w:r>
        <w:rPr>
          <w:rFonts w:ascii="Lato" w:hAnsi="Lato"/>
        </w:rPr>
        <w:t>10</w:t>
      </w:r>
      <w:r w:rsidR="000928A8" w:rsidRPr="00394B74">
        <w:rPr>
          <w:rFonts w:ascii="Lato" w:hAnsi="Lato"/>
        </w:rPr>
        <w:t xml:space="preserve">.- </w:t>
      </w:r>
      <w:r w:rsidR="000928A8" w:rsidRPr="00394B74">
        <w:rPr>
          <w:rFonts w:ascii="Lato" w:hAnsi="Lato" w:cs="Times New Roman"/>
        </w:rPr>
        <w:t xml:space="preserve">El contrato de mantenimiento modificado en el año 2007 no responde a necesidades reales de la infraestructura, no contiene la documentación necesaria para su supervisión, el gasto establecido es superior al realmente justificado en los documentos, e incluye una financiación encubierta adicional para la sociedad privada EMESA buscando la ampliación de su margen de beneficio de explotación. </w:t>
      </w:r>
    </w:p>
    <w:p w14:paraId="7F0BD9C3" w14:textId="65C6C33D" w:rsidR="000928A8" w:rsidRPr="00394B74" w:rsidRDefault="00882AE3" w:rsidP="00113E68">
      <w:pPr>
        <w:spacing w:before="100" w:beforeAutospacing="1" w:after="100" w:afterAutospacing="1"/>
        <w:ind w:right="-1202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>11</w:t>
      </w:r>
      <w:r w:rsidR="000928A8" w:rsidRPr="00394B74">
        <w:rPr>
          <w:rFonts w:ascii="Lato" w:hAnsi="Lato" w:cs="Times New Roman"/>
        </w:rPr>
        <w:t>.</w:t>
      </w:r>
      <w:r>
        <w:rPr>
          <w:rFonts w:ascii="Lato" w:hAnsi="Lato" w:cs="Times New Roman"/>
        </w:rPr>
        <w:t>-</w:t>
      </w:r>
      <w:r w:rsidR="000928A8" w:rsidRPr="00394B74">
        <w:rPr>
          <w:rFonts w:ascii="Lato" w:hAnsi="Lato" w:cs="Times New Roman"/>
        </w:rPr>
        <w:t xml:space="preserve"> Los modelos económico-financieros del contrato tienen numerosos errores que ahondan en la falta de supervisión del contrato.</w:t>
      </w:r>
    </w:p>
    <w:p w14:paraId="04AE0CB3" w14:textId="4CDA955D" w:rsidR="000928A8" w:rsidRPr="00394B74" w:rsidRDefault="00882AE3" w:rsidP="00113E68">
      <w:pPr>
        <w:spacing w:before="100" w:beforeAutospacing="1" w:after="100" w:afterAutospacing="1"/>
        <w:ind w:right="-1202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12.- Las </w:t>
      </w:r>
      <w:r w:rsidR="000928A8" w:rsidRPr="00394B74">
        <w:rPr>
          <w:rFonts w:ascii="Lato" w:hAnsi="Lato" w:cs="Times New Roman"/>
        </w:rPr>
        <w:t>decisiones tom</w:t>
      </w:r>
      <w:r>
        <w:rPr>
          <w:rFonts w:ascii="Lato" w:hAnsi="Lato" w:cs="Times New Roman"/>
        </w:rPr>
        <w:t xml:space="preserve">adas para financiar la sociedad han supuesto sobrecostes para el Ayuntamiento y un beneficio para las entidades privadas. </w:t>
      </w:r>
      <w:r w:rsidR="000928A8" w:rsidRPr="00394B74">
        <w:rPr>
          <w:rFonts w:ascii="Lato" w:hAnsi="Lato" w:cs="Times New Roman"/>
        </w:rPr>
        <w:t xml:space="preserve"> </w:t>
      </w:r>
    </w:p>
    <w:p w14:paraId="2429D013" w14:textId="756C538E" w:rsidR="000928A8" w:rsidRPr="00394B74" w:rsidRDefault="00882AE3" w:rsidP="00113E68">
      <w:pPr>
        <w:spacing w:before="100" w:beforeAutospacing="1" w:after="100" w:afterAutospacing="1"/>
        <w:ind w:right="-1202"/>
        <w:rPr>
          <w:rFonts w:ascii="Lato" w:hAnsi="Lato" w:cs="Times New Roman"/>
        </w:rPr>
      </w:pPr>
      <w:r>
        <w:rPr>
          <w:rFonts w:ascii="Lato" w:hAnsi="Lato" w:cs="Times New Roman"/>
        </w:rPr>
        <w:t>13</w:t>
      </w:r>
      <w:r w:rsidR="000928A8" w:rsidRPr="00394B74">
        <w:rPr>
          <w:rFonts w:ascii="Lato" w:hAnsi="Lato" w:cs="Times New Roman"/>
        </w:rPr>
        <w:t xml:space="preserve">.- Las auditorías realizadas a efectos de pago, y que influyen sobre la parte variable a cobrar por Madrid Calle 30 pudiendo también repercutir en el cobro de EMESA, no corresponden con un reflejo del estado de la infraestructura. </w:t>
      </w:r>
    </w:p>
    <w:p w14:paraId="67C554FD" w14:textId="77777777" w:rsidR="00113E68" w:rsidRDefault="000928A8" w:rsidP="00113E68">
      <w:pPr>
        <w:spacing w:after="80"/>
        <w:ind w:right="-1202"/>
        <w:rPr>
          <w:rFonts w:ascii="Lato" w:hAnsi="Lato" w:cs="Times New Roman"/>
          <w:b/>
        </w:rPr>
      </w:pPr>
      <w:r w:rsidRPr="00394B74">
        <w:rPr>
          <w:rFonts w:ascii="Lato" w:hAnsi="Lato" w:cs="Times New Roman"/>
          <w:b/>
        </w:rPr>
        <w:t>Recomendaciones</w:t>
      </w:r>
    </w:p>
    <w:p w14:paraId="3285E00F" w14:textId="185A6E6A" w:rsidR="000928A8" w:rsidRPr="00394B74" w:rsidRDefault="000928A8" w:rsidP="00113E68">
      <w:pPr>
        <w:spacing w:after="80"/>
        <w:ind w:right="-1202"/>
        <w:rPr>
          <w:rFonts w:ascii="Lato" w:hAnsi="Lato"/>
        </w:rPr>
      </w:pPr>
      <w:r w:rsidRPr="00394B74">
        <w:rPr>
          <w:rFonts w:ascii="Lato" w:hAnsi="Lato"/>
        </w:rPr>
        <w:t>Como consecuencia de</w:t>
      </w:r>
      <w:r w:rsidR="0066290E">
        <w:rPr>
          <w:rFonts w:ascii="Lato" w:hAnsi="Lato"/>
        </w:rPr>
        <w:t xml:space="preserve"> las conclusiones señaladas, el dictamen de la </w:t>
      </w:r>
      <w:r w:rsidRPr="00394B74">
        <w:rPr>
          <w:rFonts w:ascii="Lato" w:hAnsi="Lato"/>
        </w:rPr>
        <w:t xml:space="preserve">Comisión de Investigación propone las siguientes recomendaciones, que deberán ser asumidas por el equipo de gobierno, responsabilizándose los distintos grupos municipales del control de su cumplimiento: </w:t>
      </w:r>
    </w:p>
    <w:p w14:paraId="1238568A" w14:textId="77777777" w:rsidR="0066290E" w:rsidRDefault="000928A8" w:rsidP="00113E68">
      <w:pPr>
        <w:pStyle w:val="Prrafodelista"/>
        <w:numPr>
          <w:ilvl w:val="0"/>
          <w:numId w:val="6"/>
        </w:numPr>
        <w:spacing w:before="100" w:beforeAutospacing="1" w:after="100" w:afterAutospacing="1"/>
        <w:ind w:right="-1202"/>
        <w:rPr>
          <w:rFonts w:ascii="Lato" w:hAnsi="Lato"/>
        </w:rPr>
      </w:pPr>
      <w:r w:rsidRPr="0066290E">
        <w:rPr>
          <w:rFonts w:ascii="Lato" w:hAnsi="Lato"/>
        </w:rPr>
        <w:t xml:space="preserve">Revertir el modelo de gestión de la sociedad volviendo al original de empresa 100% municipal y garantizando un minucioso control sobre el mantenimiento y la </w:t>
      </w:r>
      <w:bookmarkStart w:id="0" w:name="_GoBack"/>
      <w:bookmarkEnd w:id="0"/>
      <w:r w:rsidRPr="0066290E">
        <w:rPr>
          <w:rFonts w:ascii="Lato" w:hAnsi="Lato"/>
        </w:rPr>
        <w:t>explotación de la infraestructura. Madrid Calle 30 y el socio privado deberían analizar con el Ayuntamiento las alternativas más adecuadas, que minimicen los costes para el erario público municipal.</w:t>
      </w:r>
    </w:p>
    <w:p w14:paraId="3076CC81" w14:textId="77777777" w:rsidR="0066290E" w:rsidRDefault="0066290E" w:rsidP="00113E68">
      <w:pPr>
        <w:pStyle w:val="Prrafodelista"/>
        <w:spacing w:before="100" w:beforeAutospacing="1" w:after="100" w:afterAutospacing="1"/>
        <w:ind w:left="1080" w:right="-1202"/>
        <w:rPr>
          <w:rFonts w:ascii="Lato" w:hAnsi="Lato"/>
        </w:rPr>
      </w:pPr>
    </w:p>
    <w:p w14:paraId="6B78BE26" w14:textId="05330ECF" w:rsidR="00394B74" w:rsidRDefault="000928A8" w:rsidP="00113E68">
      <w:pPr>
        <w:pStyle w:val="Prrafodelista"/>
        <w:numPr>
          <w:ilvl w:val="0"/>
          <w:numId w:val="6"/>
        </w:numPr>
        <w:spacing w:before="100" w:beforeAutospacing="1" w:after="100" w:afterAutospacing="1"/>
        <w:ind w:right="-1202"/>
        <w:rPr>
          <w:rFonts w:ascii="Lato" w:hAnsi="Lato"/>
        </w:rPr>
      </w:pPr>
      <w:r w:rsidRPr="0066290E">
        <w:rPr>
          <w:rFonts w:ascii="Lato" w:hAnsi="Lato"/>
        </w:rPr>
        <w:t>Iniciar la tramitación de un nuevo pliego de prescripciones técnicas y administrativas para licitar el nuevo contrato de conservación de la infraestructura.</w:t>
      </w:r>
    </w:p>
    <w:p w14:paraId="12CBD353" w14:textId="77777777" w:rsidR="0066290E" w:rsidRPr="0066290E" w:rsidRDefault="0066290E" w:rsidP="00113E68">
      <w:pPr>
        <w:pStyle w:val="Prrafodelista"/>
        <w:spacing w:before="100" w:beforeAutospacing="1" w:after="100" w:afterAutospacing="1"/>
        <w:ind w:left="1080" w:right="-1202"/>
        <w:rPr>
          <w:rFonts w:ascii="Lato" w:hAnsi="Lato"/>
        </w:rPr>
      </w:pPr>
    </w:p>
    <w:p w14:paraId="37653A77" w14:textId="05FD27C1" w:rsidR="00F8775E" w:rsidRDefault="000928A8" w:rsidP="00113E68">
      <w:pPr>
        <w:pStyle w:val="Prrafodelista"/>
        <w:numPr>
          <w:ilvl w:val="0"/>
          <w:numId w:val="6"/>
        </w:numPr>
        <w:spacing w:before="100" w:beforeAutospacing="1" w:after="100" w:afterAutospacing="1"/>
        <w:ind w:right="-1202"/>
        <w:rPr>
          <w:rFonts w:ascii="Lato" w:hAnsi="Lato"/>
        </w:rPr>
      </w:pPr>
      <w:r w:rsidRPr="000928A8">
        <w:rPr>
          <w:rFonts w:ascii="Lato" w:hAnsi="Lato"/>
        </w:rPr>
        <w:t xml:space="preserve">Subrogar el personal de atención a incidencias y emergencias, ya que es parte fundamental de la correcta explotación de la infraestructura, dotarles de la calificación como servicio de emergencias que deben ostentar y asegurar que su formación es la adecuada para las tareas que realizan. </w:t>
      </w:r>
    </w:p>
    <w:p w14:paraId="5BEAD17B" w14:textId="77777777" w:rsidR="006614C5" w:rsidRPr="006614C5" w:rsidRDefault="006614C5" w:rsidP="00113E68">
      <w:pPr>
        <w:pStyle w:val="Prrafodelista"/>
        <w:rPr>
          <w:rFonts w:ascii="Lato" w:hAnsi="Lato"/>
        </w:rPr>
      </w:pPr>
    </w:p>
    <w:p w14:paraId="6BF3E09F" w14:textId="69FA5AD4" w:rsidR="006614C5" w:rsidRPr="006614C5" w:rsidRDefault="006614C5" w:rsidP="00113E68">
      <w:pPr>
        <w:spacing w:before="100" w:beforeAutospacing="1" w:after="100" w:afterAutospacing="1"/>
        <w:ind w:right="-1202"/>
        <w:rPr>
          <w:rFonts w:ascii="Lato" w:hAnsi="Lato"/>
        </w:rPr>
      </w:pPr>
      <w:r>
        <w:rPr>
          <w:rFonts w:ascii="Lato" w:hAnsi="Lato"/>
        </w:rPr>
        <w:t>NOTA: SE ADJUNTA EL DOCUMENTO CON LAS CONCLUSIONES Y RECOMENDACIONES COMPLETAS DEL DICTAMEN.</w:t>
      </w:r>
    </w:p>
    <w:sectPr w:rsidR="006614C5" w:rsidRPr="006614C5" w:rsidSect="00AD26A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701" w:bottom="1560" w:left="1701" w:header="0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BFB1" w14:textId="77777777" w:rsidR="00C661A9" w:rsidRDefault="00C661A9" w:rsidP="00F8775E">
      <w:r>
        <w:separator/>
      </w:r>
    </w:p>
  </w:endnote>
  <w:endnote w:type="continuationSeparator" w:id="0">
    <w:p w14:paraId="5ACA4CDC" w14:textId="77777777" w:rsidR="00C661A9" w:rsidRDefault="00C661A9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3F8E" w14:textId="77777777" w:rsidR="00265A2F" w:rsidRDefault="00265A2F" w:rsidP="00F8775E">
    <w:pPr>
      <w:pStyle w:val="Piedepgina"/>
      <w:ind w:left="-1701"/>
    </w:pPr>
  </w:p>
  <w:p w14:paraId="0A6A32BC" w14:textId="1A9FD66A" w:rsidR="00F8775E" w:rsidRDefault="00BE7B18" w:rsidP="001F39A6">
    <w:pPr>
      <w:pStyle w:val="Piedepgina"/>
      <w:ind w:left="-1134"/>
    </w:pPr>
    <w:r>
      <w:br/>
    </w:r>
    <w:r w:rsidR="00C203AC">
      <w:rPr>
        <w:noProof/>
        <w:lang w:val="es-ES" w:eastAsia="es-ES"/>
      </w:rPr>
      <w:drawing>
        <wp:inline distT="0" distB="0" distL="0" distR="0" wp14:anchorId="1E18F649" wp14:editId="54C87328">
          <wp:extent cx="6980555" cy="1292225"/>
          <wp:effectExtent l="0" t="0" r="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5B29" w14:textId="77777777" w:rsidR="003924FB" w:rsidRDefault="003924FB">
    <w:pPr>
      <w:pStyle w:val="Piedepgina"/>
    </w:pPr>
  </w:p>
  <w:p w14:paraId="79306C34" w14:textId="77777777" w:rsidR="003924FB" w:rsidRDefault="003924FB">
    <w:pPr>
      <w:pStyle w:val="Piedepgina"/>
    </w:pPr>
  </w:p>
  <w:p w14:paraId="33C67AEA" w14:textId="315B60CA" w:rsidR="003924FB" w:rsidRDefault="00C203AC" w:rsidP="003924FB">
    <w:pPr>
      <w:pStyle w:val="Piedepgina"/>
      <w:tabs>
        <w:tab w:val="clear" w:pos="8504"/>
        <w:tab w:val="right" w:pos="9639"/>
      </w:tabs>
      <w:ind w:left="-1134" w:right="-1141"/>
      <w:jc w:val="center"/>
    </w:pPr>
    <w:r>
      <w:rPr>
        <w:noProof/>
        <w:lang w:val="es-ES" w:eastAsia="es-ES"/>
      </w:rPr>
      <w:drawing>
        <wp:inline distT="0" distB="0" distL="0" distR="0" wp14:anchorId="5E5464EE" wp14:editId="35D58F4F">
          <wp:extent cx="6980555" cy="12922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FA9B" w14:textId="77777777" w:rsidR="00C661A9" w:rsidRDefault="00C661A9" w:rsidP="00F8775E">
      <w:r>
        <w:separator/>
      </w:r>
    </w:p>
  </w:footnote>
  <w:footnote w:type="continuationSeparator" w:id="0">
    <w:p w14:paraId="13C3ADFD" w14:textId="77777777" w:rsidR="00C661A9" w:rsidRDefault="00C661A9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6B73" w14:textId="77777777" w:rsidR="001F39A6" w:rsidRDefault="001F39A6" w:rsidP="001F39A6">
    <w:pPr>
      <w:pStyle w:val="Encabezado"/>
      <w:tabs>
        <w:tab w:val="clear" w:pos="8504"/>
        <w:tab w:val="right" w:pos="8498"/>
      </w:tabs>
      <w:ind w:left="-1134"/>
    </w:pPr>
  </w:p>
  <w:p w14:paraId="69C771BE" w14:textId="2E9B2D24" w:rsidR="00F8775E" w:rsidRDefault="00C203AC" w:rsidP="001F39A6">
    <w:pPr>
      <w:pStyle w:val="Encabezado"/>
      <w:tabs>
        <w:tab w:val="clear" w:pos="8504"/>
        <w:tab w:val="right" w:pos="8498"/>
      </w:tabs>
      <w:ind w:left="-1134"/>
    </w:pPr>
    <w:r>
      <w:rPr>
        <w:noProof/>
        <w:lang w:val="es-ES" w:eastAsia="es-ES"/>
      </w:rPr>
      <w:drawing>
        <wp:inline distT="0" distB="0" distL="0" distR="0" wp14:anchorId="45B68918" wp14:editId="41F9BF1D">
          <wp:extent cx="6889115" cy="42037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7B1040" w14:textId="77777777" w:rsidR="004E3AAD" w:rsidRDefault="004E3AAD" w:rsidP="001F39A6">
    <w:pPr>
      <w:pStyle w:val="Encabezado"/>
      <w:tabs>
        <w:tab w:val="clear" w:pos="8504"/>
        <w:tab w:val="right" w:pos="8498"/>
      </w:tabs>
      <w:ind w:left="-1134"/>
    </w:pPr>
  </w:p>
  <w:p w14:paraId="5D32FEF3" w14:textId="77777777" w:rsidR="004E3AAD" w:rsidRDefault="004E3AAD" w:rsidP="004E3AAD">
    <w:pPr>
      <w:pStyle w:val="Encabezado"/>
      <w:tabs>
        <w:tab w:val="clear" w:pos="8504"/>
        <w:tab w:val="left" w:pos="8080"/>
      </w:tabs>
      <w:ind w:left="-1134" w:right="-97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9896" w14:textId="77777777" w:rsidR="004E3AAD" w:rsidRDefault="004E3AAD" w:rsidP="004E3AAD">
    <w:pPr>
      <w:pStyle w:val="Encabezado"/>
      <w:tabs>
        <w:tab w:val="clear" w:pos="8504"/>
        <w:tab w:val="right" w:pos="8498"/>
      </w:tabs>
      <w:ind w:left="-1134"/>
    </w:pPr>
  </w:p>
  <w:p w14:paraId="702B8210" w14:textId="648886E7" w:rsidR="004E3AAD" w:rsidRDefault="00C203AC" w:rsidP="004E3AAD">
    <w:pPr>
      <w:pStyle w:val="Encabezado"/>
      <w:tabs>
        <w:tab w:val="clear" w:pos="8504"/>
        <w:tab w:val="right" w:pos="8498"/>
      </w:tabs>
      <w:ind w:left="-1134"/>
    </w:pPr>
    <w:r>
      <w:rPr>
        <w:noProof/>
        <w:lang w:val="es-ES" w:eastAsia="es-ES"/>
      </w:rPr>
      <w:drawing>
        <wp:inline distT="0" distB="0" distL="0" distR="0" wp14:anchorId="033074C6" wp14:editId="4CD369AA">
          <wp:extent cx="6889115" cy="42037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FF2E7" w14:textId="77777777" w:rsidR="004E3AAD" w:rsidRDefault="004E3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724"/>
    <w:multiLevelType w:val="hybridMultilevel"/>
    <w:tmpl w:val="4B16E76C"/>
    <w:lvl w:ilvl="0" w:tplc="0FE40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C88"/>
    <w:multiLevelType w:val="hybridMultilevel"/>
    <w:tmpl w:val="FCBEB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731F"/>
    <w:multiLevelType w:val="hybridMultilevel"/>
    <w:tmpl w:val="655C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BD8"/>
    <w:multiLevelType w:val="hybridMultilevel"/>
    <w:tmpl w:val="2F94C29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94612"/>
    <w:multiLevelType w:val="hybridMultilevel"/>
    <w:tmpl w:val="F8A09DD8"/>
    <w:lvl w:ilvl="0" w:tplc="0FE40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316C0"/>
    <w:multiLevelType w:val="hybridMultilevel"/>
    <w:tmpl w:val="0A4C46C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5E"/>
    <w:rsid w:val="000306C1"/>
    <w:rsid w:val="000928A8"/>
    <w:rsid w:val="000B4458"/>
    <w:rsid w:val="000C721D"/>
    <w:rsid w:val="00113E68"/>
    <w:rsid w:val="001C2B7A"/>
    <w:rsid w:val="001C725B"/>
    <w:rsid w:val="001F39A6"/>
    <w:rsid w:val="00265A2F"/>
    <w:rsid w:val="002B0FFE"/>
    <w:rsid w:val="002B2D5B"/>
    <w:rsid w:val="00341D47"/>
    <w:rsid w:val="00354583"/>
    <w:rsid w:val="00363F05"/>
    <w:rsid w:val="003924FB"/>
    <w:rsid w:val="00394B74"/>
    <w:rsid w:val="003B0E0A"/>
    <w:rsid w:val="00417791"/>
    <w:rsid w:val="004674E3"/>
    <w:rsid w:val="004E3AAD"/>
    <w:rsid w:val="00592ADC"/>
    <w:rsid w:val="00596814"/>
    <w:rsid w:val="005E2311"/>
    <w:rsid w:val="006614C5"/>
    <w:rsid w:val="0066290E"/>
    <w:rsid w:val="006B65E9"/>
    <w:rsid w:val="006E3EE0"/>
    <w:rsid w:val="006E3F1E"/>
    <w:rsid w:val="00714262"/>
    <w:rsid w:val="00734698"/>
    <w:rsid w:val="007B592C"/>
    <w:rsid w:val="00811A19"/>
    <w:rsid w:val="00814287"/>
    <w:rsid w:val="00852D9E"/>
    <w:rsid w:val="00871BF0"/>
    <w:rsid w:val="00882AE3"/>
    <w:rsid w:val="00896325"/>
    <w:rsid w:val="00902CB9"/>
    <w:rsid w:val="00973733"/>
    <w:rsid w:val="009B4FF6"/>
    <w:rsid w:val="009D0701"/>
    <w:rsid w:val="00A94ABD"/>
    <w:rsid w:val="00AA7EB4"/>
    <w:rsid w:val="00AD26A9"/>
    <w:rsid w:val="00B20450"/>
    <w:rsid w:val="00BA62DF"/>
    <w:rsid w:val="00BB3EF3"/>
    <w:rsid w:val="00BE7B18"/>
    <w:rsid w:val="00C203AC"/>
    <w:rsid w:val="00C661A9"/>
    <w:rsid w:val="00CE5930"/>
    <w:rsid w:val="00D03873"/>
    <w:rsid w:val="00E165CA"/>
    <w:rsid w:val="00E24FEA"/>
    <w:rsid w:val="00E803D0"/>
    <w:rsid w:val="00EA4A69"/>
    <w:rsid w:val="00EB16C9"/>
    <w:rsid w:val="00F8345B"/>
    <w:rsid w:val="00F85379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9B46DE"/>
  <w14:defaultImageDpi w14:val="32767"/>
  <w15:docId w15:val="{2AD77AC0-C135-458E-A1B0-B4A963C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1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F39A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63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405B-B3CB-4EB8-A4B0-DBC2FA33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IAM</cp:lastModifiedBy>
  <cp:revision>10</cp:revision>
  <cp:lastPrinted>2017-11-21T09:09:00Z</cp:lastPrinted>
  <dcterms:created xsi:type="dcterms:W3CDTF">2017-11-24T11:31:00Z</dcterms:created>
  <dcterms:modified xsi:type="dcterms:W3CDTF">2017-11-24T12:58:00Z</dcterms:modified>
</cp:coreProperties>
</file>