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CONVOCATORIA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0000000000005" w:lineRule="auto"/>
        <w:contextualSpacing w:val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</w:rPr>
        <w:drawing>
          <wp:inline distB="114300" distT="114300" distL="114300" distR="114300">
            <wp:extent cx="5494345" cy="18161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4345" cy="181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line="331.20000000000005" w:lineRule="auto"/>
        <w:contextualSpacing w:val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EL NUEVO VEHÍCULO SE HA ESTRENADO ESTE MARTES CON MOTIV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O DE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L INICIO DE LA TRAMITACIÓN DE LA LEY EN EL CONGRESO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-142" w:right="-285" w:firstLine="0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El #HOBus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llega este jueves a Bilbao en su campaña para frenar la #LeyMordazaLGTBI de Podemos  </w:t>
      </w:r>
    </w:p>
    <w:p w:rsidR="00000000" w:rsidDel="00000000" w:rsidP="00000000" w:rsidRDefault="00000000" w:rsidRPr="00000000">
      <w:pPr>
        <w:spacing w:line="331.20000000000005" w:lineRule="auto"/>
        <w:ind w:left="-142" w:right="-285" w:firstLine="0"/>
        <w:contextualSpacing w:val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right="-285" w:hanging="360"/>
        <w:contextualSpacing w:val="1"/>
        <w:rPr>
          <w:i w:val="1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El autobús de HazteOir.org recorrerá las calles de la capital vizcaína con el lema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‘Podemos y su Ley Mordaza LGTBI: ¡Van a por tus hijos! Los niños tienen pene, las niñas tienen vulva, que no te engañen’ y repartirán 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u w:val="single"/>
            <w:rtl w:val="0"/>
          </w:rPr>
          <w:t xml:space="preserve">folletos </w:t>
        </w:r>
      </w:hyperlink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informativos.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right="-285" w:hanging="360"/>
        <w:contextualSpacing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Este martes el PP se abstuvo en la votación del primer trámite parlamentario de la ley tras recibir 55.000 correos electrónicos firmados por otros tantos ciudadanos a través de una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u w:val="single"/>
            <w:rtl w:val="0"/>
          </w:rPr>
          <w:t xml:space="preserve">petición</w:t>
        </w:r>
      </w:hyperlink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en HazteOir.org.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right="-285" w:hanging="360"/>
        <w:contextualSpacing w:val="1"/>
        <w:rPr>
          <w:i w:val="1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Ignacio Arsuaga: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“En los próximos meses vamos a intensificar la campaña para impedir que se apruebe la ley más reaccionaria de la democracia española”.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right="-285"/>
        <w:contextualSpacing w:val="0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-142" w:right="-285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-142" w:right="-285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MADRID, 20 DE SEPTIEMBRE DE 2017.-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#HOBus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llega este jueves a Bilbao en su campaña para frenar la #LeyMordazaLGTBI de Podemos.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El vehículo de HazteOir.org recorrerá las calles de la capital vizcaína con el lema </w:t>
      </w:r>
      <w:r w:rsidDel="00000000" w:rsidR="00000000" w:rsidRPr="00000000">
        <w:rPr>
          <w:rFonts w:ascii="Arial" w:cs="Arial" w:eastAsia="Arial" w:hAnsi="Arial"/>
          <w:rtl w:val="0"/>
        </w:rPr>
        <w:t xml:space="preserve">‘Podemos y su Ley Mordaza LGTBI: ¡Van a por tus hijos! Los niños tienen pene, las niñas tienen vulva, que no te engañen’ y repartirán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folletos 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informativos.</w:t>
      </w:r>
    </w:p>
    <w:p w:rsidR="00000000" w:rsidDel="00000000" w:rsidP="00000000" w:rsidRDefault="00000000" w:rsidRPr="00000000">
      <w:pPr>
        <w:spacing w:after="0" w:line="276" w:lineRule="auto"/>
        <w:ind w:left="-142" w:right="-285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-142" w:right="-285" w:firstLine="0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CONVOCATORIA | AGENDA Y PREVISIONES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Fecha: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21 de septiembre de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Hora: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   12:00 horas.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Lugar:  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highlight w:val="white"/>
          <w:rtl w:val="0"/>
        </w:rPr>
        <w:t xml:space="preserve">Plaza de Don Federico Moyúa, tramo entre las calles Ercilla y Recalde Zumarkalea delante del Deutsche Bank. 48009 Bilbao.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Mapa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-142" w:right="-285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da la circunstancia de que e</w:t>
      </w:r>
      <w:r w:rsidDel="00000000" w:rsidR="00000000" w:rsidRPr="00000000">
        <w:rPr>
          <w:rFonts w:ascii="Arial" w:cs="Arial" w:eastAsia="Arial" w:hAnsi="Arial"/>
          <w:rtl w:val="0"/>
        </w:rPr>
        <w:t xml:space="preserve">ste martes el PP se abstuvo en la votación del primer trámite parlamentario de la ley en el Congreso nacional tras recibir 55.000 correos electrónicos firmados por otros tantos ciudadanos a través de una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petición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en HazteOir.org. 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El presidente de la asociación, Ignacio Arsuaga, ha anunciado que la campaña se intensificará en los próximos meses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impedir que se apruebe la ley más reaccionaria de la democracia española”. </w:t>
      </w:r>
    </w:p>
    <w:p w:rsidR="00000000" w:rsidDel="00000000" w:rsidP="00000000" w:rsidRDefault="00000000" w:rsidRPr="00000000">
      <w:pPr>
        <w:spacing w:after="0" w:line="276" w:lineRule="auto"/>
        <w:ind w:left="-142" w:right="-285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-142" w:right="-285" w:firstLine="0"/>
        <w:contextualSpacing w:val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#HOBus llega a la capital vizcaína con un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mensaje avalado por la Justicia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ya que son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tres las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resoluciones judiciales que confirman que no hay delito alguno en los mensajes de HazteOir.org: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la de la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Audiencia Provincial de Madrid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sobre la inmovilización del autobús, la del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Juzgado de Instrucción nº 46 de Madrid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que archivó la denuncia de una asociación LGTBI y la del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Juzgado de Instrucción nº 3 de Madrid</w:t>
        </w:r>
      </w:hyperlink>
      <w:hyperlink r:id="rId14">
        <w:r w:rsidDel="00000000" w:rsidR="00000000" w:rsidRPr="00000000">
          <w:rPr>
            <w:rFonts w:ascii="Arial" w:cs="Arial" w:eastAsia="Arial" w:hAnsi="Arial"/>
            <w:color w:val="1155cc"/>
            <w:highlight w:val="whit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que archiva la denuncia de la Fiscalía contra el #HOBus.</w:t>
      </w:r>
    </w:p>
    <w:p w:rsidR="00000000" w:rsidDel="00000000" w:rsidP="00000000" w:rsidRDefault="00000000" w:rsidRPr="00000000">
      <w:pPr>
        <w:spacing w:after="0" w:line="276" w:lineRule="auto"/>
        <w:ind w:left="-142" w:right="-285" w:firstLine="0"/>
        <w:contextualSpacing w:val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-142" w:right="-285" w:firstLine="0"/>
        <w:contextualSpacing w:val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famoso autobús naranja tiene más de seis meses de vida </w:t>
      </w:r>
      <w:r w:rsidDel="00000000" w:rsidR="00000000" w:rsidRPr="00000000">
        <w:rPr>
          <w:rFonts w:ascii="Arial" w:cs="Arial" w:eastAsia="Arial" w:hAnsi="Arial"/>
          <w:rtl w:val="0"/>
        </w:rPr>
        <w:t xml:space="preserve">y ha visitado numerosas ciudades españolas y cruzando fronteras llegando también a Estados Unidos, Colombia, México, Chile y Alemania.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-142" w:right="-285" w:firstLine="0"/>
        <w:contextualSpacing w:val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-142" w:right="-285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MÁS INFORMACIÓN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Prensa de HazteOir.org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hyperlink r:id="rId15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prensa@hazteoir.org/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(34) 617 20 30 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HazteOir.org es una asociación civil registrada en España que forma parte del Grupo CitizenGO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40" w:w="11900"/>
      <w:pgMar w:bottom="1417" w:top="1535" w:left="1701" w:right="15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419"/>
        <w:tab w:val="right" w:pos="8838"/>
      </w:tabs>
      <w:spacing w:after="288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color w:val="d48221"/>
        <w:sz w:val="18"/>
        <w:szCs w:val="18"/>
        <w:rtl w:val="0"/>
      </w:rPr>
      <w:t xml:space="preserve">Paseo de La Habana 200, bajo izquierda · 28036 Madrid · T 91 554 71 89 ·  F 91 345 35 93 · hazteoir@hazteoir.org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2429214" cy="743054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9214" cy="7430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hazteoir.org/noticia/91925-justicia-da-razon-hazteoirorg-hobus-puede-circular-libremente-madrid" TargetMode="External"/><Relationship Id="rId10" Type="http://schemas.openxmlformats.org/officeDocument/2006/relationships/hyperlink" Target="http://citizengo.org/hazteoir/pc/90208-5-dias-para-frenar-la-ley-mordaza-LGTBI" TargetMode="External"/><Relationship Id="rId13" Type="http://schemas.openxmlformats.org/officeDocument/2006/relationships/hyperlink" Target="http://hazteoir.org/sites/default/files/documentos/20170915_auto_juzgado_no_3_archiva_denuncia_hobus_.pdf" TargetMode="External"/><Relationship Id="rId12" Type="http://schemas.openxmlformats.org/officeDocument/2006/relationships/hyperlink" Target="http://hazteoir.org/noticia/91876-hobus-justicia-da-razon-hazteoirorg-segunda-vez-y-certifica-que-no-hay-delito-su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google.es/maps/@43.2633883,-2.9348482,19z?hl=es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http://hazteoir.org/sites/default/files/documentos/20170915_auto_juzgado_no_3_archiva_denuncia_hobus_.pdf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image" Target="media/image3.png"/><Relationship Id="rId6" Type="http://schemas.openxmlformats.org/officeDocument/2006/relationships/hyperlink" Target="http://www.hazteoir.org/sites/default/files/documentos/diptico_ley_mordaza_lgtbi_podemos.pdf" TargetMode="External"/><Relationship Id="rId7" Type="http://schemas.openxmlformats.org/officeDocument/2006/relationships/hyperlink" Target="http://citizengo.org/hazteoir/pc/90208-5-dias-para-frenar-la-ley-mordaza-LGTBI" TargetMode="External"/><Relationship Id="rId8" Type="http://schemas.openxmlformats.org/officeDocument/2006/relationships/hyperlink" Target="http://www.hazteoir.org/sites/default/files/documentos/diptico_ley_mordaza_lgtbi_podemos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