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5" w:rsidRDefault="003740A5" w:rsidP="00215845">
      <w:pPr>
        <w:pBdr>
          <w:bottom w:val="single" w:sz="4" w:space="1" w:color="auto"/>
        </w:pBdr>
        <w:jc w:val="center"/>
        <w:rPr>
          <w:rFonts w:asciiTheme="minorHAnsi" w:hAnsiTheme="minorHAnsi"/>
          <w:sz w:val="36"/>
          <w:szCs w:val="38"/>
        </w:rPr>
      </w:pPr>
    </w:p>
    <w:p w:rsidR="00215845" w:rsidRPr="003740A5" w:rsidRDefault="001C4891" w:rsidP="00215845">
      <w:pPr>
        <w:pBdr>
          <w:bottom w:val="single" w:sz="4" w:space="1" w:color="auto"/>
        </w:pBdr>
        <w:jc w:val="center"/>
        <w:rPr>
          <w:rFonts w:asciiTheme="minorHAnsi" w:hAnsiTheme="minorHAnsi"/>
          <w:sz w:val="28"/>
          <w:szCs w:val="28"/>
        </w:rPr>
      </w:pPr>
      <w:r>
        <w:rPr>
          <w:rFonts w:asciiTheme="minorHAnsi" w:hAnsiTheme="minorHAnsi"/>
          <w:sz w:val="28"/>
          <w:szCs w:val="28"/>
        </w:rPr>
        <w:t>En representación de más de 3000 accionistas afectados</w:t>
      </w:r>
    </w:p>
    <w:p w:rsidR="00215845" w:rsidRPr="001C4891" w:rsidRDefault="008D17E0" w:rsidP="00215845">
      <w:pPr>
        <w:jc w:val="center"/>
        <w:rPr>
          <w:rFonts w:asciiTheme="minorHAnsi" w:hAnsiTheme="minorHAnsi"/>
          <w:sz w:val="32"/>
        </w:rPr>
      </w:pPr>
      <w:r>
        <w:rPr>
          <w:rFonts w:asciiTheme="minorHAnsi" w:hAnsiTheme="minorHAnsi"/>
          <w:b/>
          <w:sz w:val="48"/>
          <w:szCs w:val="46"/>
        </w:rPr>
        <w:t>AEMEC impugnará</w:t>
      </w:r>
      <w:r w:rsidR="005619E5" w:rsidRPr="001C4891">
        <w:rPr>
          <w:rFonts w:asciiTheme="minorHAnsi" w:hAnsiTheme="minorHAnsi"/>
          <w:b/>
          <w:sz w:val="48"/>
          <w:szCs w:val="46"/>
        </w:rPr>
        <w:t xml:space="preserve"> el viernes</w:t>
      </w:r>
      <w:r w:rsidR="001C4891" w:rsidRPr="001C4891">
        <w:rPr>
          <w:rFonts w:asciiTheme="minorHAnsi" w:hAnsiTheme="minorHAnsi"/>
          <w:b/>
          <w:sz w:val="48"/>
          <w:szCs w:val="46"/>
        </w:rPr>
        <w:t xml:space="preserve"> en Bruselas la resolución sobre el Banco Popular</w:t>
      </w:r>
    </w:p>
    <w:p w:rsidR="00215845" w:rsidRPr="00215845" w:rsidRDefault="00215845" w:rsidP="00215845">
      <w:pPr>
        <w:tabs>
          <w:tab w:val="right" w:pos="8504"/>
        </w:tabs>
        <w:jc w:val="center"/>
        <w:rPr>
          <w:rFonts w:asciiTheme="minorHAnsi" w:hAnsiTheme="minorHAnsi"/>
        </w:rPr>
      </w:pPr>
    </w:p>
    <w:p w:rsidR="00353141" w:rsidRDefault="00353141" w:rsidP="00353141">
      <w:pPr>
        <w:pStyle w:val="Prrafodelista"/>
        <w:numPr>
          <w:ilvl w:val="0"/>
          <w:numId w:val="5"/>
        </w:numPr>
        <w:rPr>
          <w:rFonts w:asciiTheme="minorHAnsi" w:hAnsiTheme="minorHAnsi"/>
        </w:rPr>
      </w:pPr>
      <w:r>
        <w:rPr>
          <w:rFonts w:asciiTheme="minorHAnsi" w:hAnsiTheme="minorHAnsi" w:cs="Arabic Typesetting"/>
          <w:b/>
          <w:sz w:val="28"/>
          <w:szCs w:val="28"/>
        </w:rPr>
        <w:t>La situación patrimonial de la entidad no reunía los requisitos legales para su resolución</w:t>
      </w:r>
      <w:r w:rsidRPr="00353141">
        <w:rPr>
          <w:rFonts w:asciiTheme="minorHAnsi" w:hAnsiTheme="minorHAnsi"/>
        </w:rPr>
        <w:t>.</w:t>
      </w:r>
    </w:p>
    <w:p w:rsidR="008D17E0" w:rsidRPr="00353141" w:rsidRDefault="008D17E0" w:rsidP="008D17E0">
      <w:pPr>
        <w:pStyle w:val="Prrafodelista"/>
        <w:rPr>
          <w:rFonts w:asciiTheme="minorHAnsi" w:hAnsiTheme="minorHAnsi"/>
        </w:rPr>
      </w:pPr>
    </w:p>
    <w:p w:rsidR="00353141" w:rsidRPr="001C4891" w:rsidRDefault="00353141" w:rsidP="00447A02">
      <w:pPr>
        <w:pStyle w:val="Prrafodelista"/>
        <w:numPr>
          <w:ilvl w:val="0"/>
          <w:numId w:val="5"/>
        </w:numPr>
        <w:rPr>
          <w:rFonts w:asciiTheme="minorHAnsi" w:hAnsiTheme="minorHAnsi"/>
        </w:rPr>
      </w:pPr>
      <w:r w:rsidRPr="001C4891">
        <w:rPr>
          <w:rFonts w:asciiTheme="minorHAnsi" w:hAnsiTheme="minorHAnsi" w:cs="Arabic Typesetting"/>
          <w:b/>
          <w:sz w:val="28"/>
          <w:szCs w:val="28"/>
        </w:rPr>
        <w:t xml:space="preserve">El Reglamento 806/ 2014 </w:t>
      </w:r>
      <w:r w:rsidR="001C4891" w:rsidRPr="001C4891">
        <w:rPr>
          <w:rFonts w:asciiTheme="minorHAnsi" w:hAnsiTheme="minorHAnsi" w:cs="Arabic Typesetting"/>
          <w:b/>
          <w:sz w:val="28"/>
          <w:szCs w:val="28"/>
        </w:rPr>
        <w:t xml:space="preserve">con el que se justificó la intervención podría </w:t>
      </w:r>
      <w:r w:rsidR="001C4891">
        <w:rPr>
          <w:rFonts w:asciiTheme="minorHAnsi" w:hAnsiTheme="minorHAnsi" w:cs="Arabic Typesetting"/>
          <w:b/>
          <w:sz w:val="28"/>
          <w:szCs w:val="28"/>
        </w:rPr>
        <w:t>v</w:t>
      </w:r>
      <w:r w:rsidRPr="001C4891">
        <w:rPr>
          <w:rFonts w:asciiTheme="minorHAnsi" w:hAnsiTheme="minorHAnsi" w:cs="Arabic Typesetting"/>
          <w:b/>
          <w:sz w:val="28"/>
          <w:szCs w:val="28"/>
        </w:rPr>
        <w:t>ulnera</w:t>
      </w:r>
      <w:r w:rsidR="001C4891">
        <w:rPr>
          <w:rFonts w:asciiTheme="minorHAnsi" w:hAnsiTheme="minorHAnsi" w:cs="Arabic Typesetting"/>
          <w:b/>
          <w:sz w:val="28"/>
          <w:szCs w:val="28"/>
        </w:rPr>
        <w:t>r</w:t>
      </w:r>
      <w:r w:rsidRPr="001C4891">
        <w:rPr>
          <w:rFonts w:asciiTheme="minorHAnsi" w:hAnsiTheme="minorHAnsi" w:cs="Arabic Typesetting"/>
          <w:b/>
          <w:sz w:val="28"/>
          <w:szCs w:val="28"/>
        </w:rPr>
        <w:t xml:space="preserve"> los derechos fundamentales reconocidos por el Derecho originario de la UE</w:t>
      </w:r>
      <w:r w:rsidRPr="001C4891">
        <w:rPr>
          <w:rFonts w:asciiTheme="minorHAnsi" w:hAnsiTheme="minorHAnsi"/>
        </w:rPr>
        <w:t>.</w:t>
      </w:r>
    </w:p>
    <w:p w:rsidR="00353141" w:rsidRPr="00835D9A" w:rsidRDefault="00353141" w:rsidP="00353141">
      <w:pPr>
        <w:pStyle w:val="Prrafodelista"/>
        <w:rPr>
          <w:rFonts w:asciiTheme="minorHAnsi" w:hAnsiTheme="minorHAnsi"/>
        </w:rPr>
      </w:pPr>
    </w:p>
    <w:p w:rsidR="0052467C" w:rsidRPr="00215845" w:rsidRDefault="0052467C" w:rsidP="00215845">
      <w:pPr>
        <w:rPr>
          <w:rFonts w:asciiTheme="minorHAnsi" w:hAnsiTheme="minorHAnsi"/>
        </w:rPr>
      </w:pPr>
    </w:p>
    <w:p w:rsidR="00215845" w:rsidRPr="000609C2" w:rsidRDefault="00353141" w:rsidP="008D17E0">
      <w:pPr>
        <w:jc w:val="both"/>
        <w:rPr>
          <w:rFonts w:asciiTheme="minorHAnsi" w:hAnsiTheme="minorHAnsi"/>
          <w:sz w:val="26"/>
          <w:szCs w:val="26"/>
        </w:rPr>
      </w:pPr>
      <w:r w:rsidRPr="000609C2">
        <w:rPr>
          <w:rFonts w:asciiTheme="minorHAnsi" w:hAnsiTheme="minorHAnsi"/>
          <w:b/>
          <w:sz w:val="26"/>
          <w:szCs w:val="26"/>
        </w:rPr>
        <w:t xml:space="preserve">Madrid, </w:t>
      </w:r>
      <w:r w:rsidR="002655C2">
        <w:rPr>
          <w:rFonts w:asciiTheme="minorHAnsi" w:hAnsiTheme="minorHAnsi"/>
          <w:b/>
          <w:sz w:val="26"/>
          <w:szCs w:val="26"/>
        </w:rPr>
        <w:t xml:space="preserve">1 de </w:t>
      </w:r>
      <w:bookmarkStart w:id="0" w:name="_GoBack"/>
      <w:bookmarkEnd w:id="0"/>
      <w:r w:rsidR="00B51C53">
        <w:rPr>
          <w:rFonts w:asciiTheme="minorHAnsi" w:hAnsiTheme="minorHAnsi"/>
          <w:b/>
          <w:sz w:val="26"/>
          <w:szCs w:val="26"/>
        </w:rPr>
        <w:t>agosto</w:t>
      </w:r>
      <w:r w:rsidR="002655C2">
        <w:rPr>
          <w:rFonts w:asciiTheme="minorHAnsi" w:hAnsiTheme="minorHAnsi"/>
          <w:b/>
          <w:sz w:val="26"/>
          <w:szCs w:val="26"/>
        </w:rPr>
        <w:t xml:space="preserve"> </w:t>
      </w:r>
      <w:r w:rsidR="00215845" w:rsidRPr="000609C2">
        <w:rPr>
          <w:rFonts w:asciiTheme="minorHAnsi" w:hAnsiTheme="minorHAnsi"/>
          <w:b/>
          <w:sz w:val="26"/>
          <w:szCs w:val="26"/>
        </w:rPr>
        <w:t>2017.</w:t>
      </w:r>
      <w:r w:rsidR="00215845" w:rsidRPr="000609C2">
        <w:rPr>
          <w:rFonts w:asciiTheme="minorHAnsi" w:hAnsiTheme="minorHAnsi"/>
          <w:sz w:val="26"/>
          <w:szCs w:val="26"/>
        </w:rPr>
        <w:t xml:space="preserve"> </w:t>
      </w:r>
      <w:r w:rsidR="003740A5" w:rsidRPr="000609C2">
        <w:rPr>
          <w:rFonts w:asciiTheme="minorHAnsi" w:hAnsiTheme="minorHAnsi"/>
          <w:sz w:val="26"/>
          <w:szCs w:val="26"/>
        </w:rPr>
        <w:t>La Asociación Española de Accionistas Minoritarios de Empresas Cotizadas (AEMEC)</w:t>
      </w:r>
      <w:r w:rsidR="005619E5" w:rsidRPr="000609C2">
        <w:rPr>
          <w:rFonts w:asciiTheme="minorHAnsi" w:hAnsiTheme="minorHAnsi"/>
          <w:sz w:val="26"/>
          <w:szCs w:val="26"/>
        </w:rPr>
        <w:t xml:space="preserve"> </w:t>
      </w:r>
      <w:r w:rsidR="00360847" w:rsidRPr="000609C2">
        <w:rPr>
          <w:rFonts w:asciiTheme="minorHAnsi" w:hAnsiTheme="minorHAnsi"/>
          <w:sz w:val="26"/>
          <w:szCs w:val="26"/>
        </w:rPr>
        <w:t>interpondrá el próximo viernes</w:t>
      </w:r>
      <w:r w:rsidR="0052467C" w:rsidRPr="000609C2">
        <w:rPr>
          <w:rFonts w:asciiTheme="minorHAnsi" w:hAnsiTheme="minorHAnsi"/>
          <w:sz w:val="26"/>
          <w:szCs w:val="26"/>
        </w:rPr>
        <w:t>,</w:t>
      </w:r>
      <w:r w:rsidR="00215845" w:rsidRPr="000609C2">
        <w:rPr>
          <w:rFonts w:asciiTheme="minorHAnsi" w:hAnsiTheme="minorHAnsi"/>
          <w:sz w:val="26"/>
          <w:szCs w:val="26"/>
        </w:rPr>
        <w:t xml:space="preserve"> </w:t>
      </w:r>
      <w:r w:rsidR="005619E5" w:rsidRPr="000609C2">
        <w:rPr>
          <w:rFonts w:asciiTheme="minorHAnsi" w:hAnsiTheme="minorHAnsi"/>
          <w:sz w:val="26"/>
          <w:szCs w:val="26"/>
        </w:rPr>
        <w:t>a través del</w:t>
      </w:r>
      <w:r w:rsidR="003740A5" w:rsidRPr="000609C2">
        <w:rPr>
          <w:rFonts w:asciiTheme="minorHAnsi" w:hAnsiTheme="minorHAnsi"/>
          <w:sz w:val="26"/>
          <w:szCs w:val="26"/>
        </w:rPr>
        <w:t xml:space="preserve"> despacho de abogados Cremades &amp; Calvo- Sotelo</w:t>
      </w:r>
      <w:r w:rsidR="0052467C" w:rsidRPr="000609C2">
        <w:rPr>
          <w:rFonts w:asciiTheme="minorHAnsi" w:hAnsiTheme="minorHAnsi"/>
          <w:sz w:val="26"/>
          <w:szCs w:val="26"/>
        </w:rPr>
        <w:t>,</w:t>
      </w:r>
      <w:r w:rsidR="005619E5" w:rsidRPr="000609C2">
        <w:rPr>
          <w:rFonts w:asciiTheme="minorHAnsi" w:hAnsiTheme="minorHAnsi"/>
          <w:sz w:val="26"/>
          <w:szCs w:val="26"/>
        </w:rPr>
        <w:t xml:space="preserve"> </w:t>
      </w:r>
      <w:r w:rsidR="00215845" w:rsidRPr="000609C2">
        <w:rPr>
          <w:rFonts w:asciiTheme="minorHAnsi" w:hAnsiTheme="minorHAnsi"/>
          <w:sz w:val="26"/>
          <w:szCs w:val="26"/>
        </w:rPr>
        <w:t xml:space="preserve">un recurso ante el Tribunal General de la Unión Europea (TGUE) para impugnar la resolución del Banco Popular por la Junta Única de Resolución (JUR). Desde </w:t>
      </w:r>
      <w:r w:rsidR="00360847" w:rsidRPr="000609C2">
        <w:rPr>
          <w:rFonts w:asciiTheme="minorHAnsi" w:hAnsiTheme="minorHAnsi"/>
          <w:sz w:val="26"/>
          <w:szCs w:val="26"/>
        </w:rPr>
        <w:t>la asociación</w:t>
      </w:r>
      <w:r w:rsidR="00215845" w:rsidRPr="000609C2">
        <w:rPr>
          <w:rFonts w:asciiTheme="minorHAnsi" w:hAnsiTheme="minorHAnsi"/>
          <w:sz w:val="26"/>
          <w:szCs w:val="26"/>
        </w:rPr>
        <w:t xml:space="preserve"> se confía firmemente en que este procedimiento se resuelva de manera favorable para los afectados y </w:t>
      </w:r>
      <w:r w:rsidR="00360847" w:rsidRPr="000609C2">
        <w:rPr>
          <w:rFonts w:asciiTheme="minorHAnsi" w:hAnsiTheme="minorHAnsi"/>
          <w:sz w:val="26"/>
          <w:szCs w:val="26"/>
        </w:rPr>
        <w:t xml:space="preserve">permita </w:t>
      </w:r>
      <w:r w:rsidR="00215845" w:rsidRPr="000609C2">
        <w:rPr>
          <w:rFonts w:asciiTheme="minorHAnsi" w:hAnsiTheme="minorHAnsi"/>
          <w:sz w:val="26"/>
          <w:szCs w:val="26"/>
        </w:rPr>
        <w:t>obtener una compensación</w:t>
      </w:r>
      <w:r w:rsidR="00360847" w:rsidRPr="000609C2">
        <w:rPr>
          <w:rFonts w:asciiTheme="minorHAnsi" w:hAnsiTheme="minorHAnsi"/>
          <w:sz w:val="26"/>
          <w:szCs w:val="26"/>
        </w:rPr>
        <w:t xml:space="preserve"> justa</w:t>
      </w:r>
      <w:r w:rsidR="00215845" w:rsidRPr="000609C2">
        <w:rPr>
          <w:rFonts w:asciiTheme="minorHAnsi" w:hAnsiTheme="minorHAnsi"/>
          <w:sz w:val="26"/>
          <w:szCs w:val="26"/>
        </w:rPr>
        <w:t xml:space="preserve"> tanto para los accionistas como para los obligacionistas. </w:t>
      </w:r>
    </w:p>
    <w:p w:rsidR="00215845" w:rsidRPr="000609C2" w:rsidRDefault="00215845" w:rsidP="00215845">
      <w:pPr>
        <w:rPr>
          <w:rFonts w:asciiTheme="minorHAnsi" w:hAnsiTheme="minorHAnsi"/>
          <w:sz w:val="26"/>
          <w:szCs w:val="26"/>
        </w:rPr>
      </w:pPr>
    </w:p>
    <w:p w:rsidR="006A5202" w:rsidRPr="000609C2" w:rsidRDefault="00360847" w:rsidP="008D17E0">
      <w:pPr>
        <w:jc w:val="both"/>
        <w:rPr>
          <w:rFonts w:asciiTheme="minorHAnsi" w:hAnsiTheme="minorHAnsi"/>
          <w:sz w:val="26"/>
          <w:szCs w:val="26"/>
        </w:rPr>
      </w:pPr>
      <w:r w:rsidRPr="000609C2">
        <w:rPr>
          <w:rFonts w:asciiTheme="minorHAnsi" w:hAnsiTheme="minorHAnsi"/>
          <w:sz w:val="26"/>
          <w:szCs w:val="26"/>
        </w:rPr>
        <w:t>Las bases jurídicas y argumentales que se defienden en el recurso, se resumen en las siguientes</w:t>
      </w:r>
      <w:r w:rsidR="00215845" w:rsidRPr="000609C2">
        <w:rPr>
          <w:rFonts w:asciiTheme="minorHAnsi" w:hAnsiTheme="minorHAnsi"/>
          <w:sz w:val="26"/>
          <w:szCs w:val="26"/>
        </w:rPr>
        <w:t>:</w:t>
      </w:r>
      <w:r w:rsidR="003740A5" w:rsidRPr="000609C2">
        <w:rPr>
          <w:rFonts w:asciiTheme="minorHAnsi" w:hAnsiTheme="minorHAnsi"/>
          <w:sz w:val="26"/>
          <w:szCs w:val="26"/>
        </w:rPr>
        <w:t xml:space="preserve"> </w:t>
      </w:r>
    </w:p>
    <w:p w:rsidR="005C47A4" w:rsidRPr="000609C2" w:rsidRDefault="005C47A4" w:rsidP="00215845">
      <w:pPr>
        <w:rPr>
          <w:rFonts w:asciiTheme="minorHAnsi" w:hAnsiTheme="minorHAnsi"/>
          <w:sz w:val="26"/>
          <w:szCs w:val="26"/>
        </w:rPr>
      </w:pPr>
    </w:p>
    <w:p w:rsidR="0040684F" w:rsidRPr="000609C2" w:rsidRDefault="001C4891" w:rsidP="008D17E0">
      <w:pPr>
        <w:pStyle w:val="Prrafodelista"/>
        <w:numPr>
          <w:ilvl w:val="0"/>
          <w:numId w:val="4"/>
        </w:numPr>
        <w:jc w:val="both"/>
        <w:rPr>
          <w:rFonts w:asciiTheme="minorHAnsi" w:hAnsiTheme="minorHAnsi"/>
          <w:sz w:val="26"/>
          <w:szCs w:val="26"/>
        </w:rPr>
      </w:pPr>
      <w:r w:rsidRPr="000609C2">
        <w:rPr>
          <w:rFonts w:asciiTheme="minorHAnsi" w:hAnsiTheme="minorHAnsi"/>
          <w:b/>
          <w:sz w:val="26"/>
          <w:szCs w:val="26"/>
        </w:rPr>
        <w:t>E</w:t>
      </w:r>
      <w:r w:rsidR="00EF4D8B" w:rsidRPr="000609C2">
        <w:rPr>
          <w:rFonts w:asciiTheme="minorHAnsi" w:hAnsiTheme="minorHAnsi"/>
          <w:b/>
          <w:sz w:val="26"/>
          <w:szCs w:val="26"/>
        </w:rPr>
        <w:t>l régimen de resolución</w:t>
      </w:r>
      <w:r w:rsidR="00EF4D8B" w:rsidRPr="000609C2">
        <w:rPr>
          <w:rFonts w:asciiTheme="minorHAnsi" w:hAnsiTheme="minorHAnsi"/>
          <w:sz w:val="26"/>
          <w:szCs w:val="26"/>
        </w:rPr>
        <w:t xml:space="preserve"> de entidades previsto en el Reglamento 806/2014 ha situado a los afectados en una situación de indefensión flagrante, al ser </w:t>
      </w:r>
      <w:r w:rsidR="00EF4D8B" w:rsidRPr="000609C2">
        <w:rPr>
          <w:rFonts w:asciiTheme="minorHAnsi" w:hAnsiTheme="minorHAnsi"/>
          <w:b/>
          <w:sz w:val="26"/>
          <w:szCs w:val="26"/>
        </w:rPr>
        <w:t>gravemente contrario a los derechos fundamentales reconocidos por el Derecho originario de la UE.</w:t>
      </w:r>
      <w:r w:rsidR="00EF4D8B" w:rsidRPr="000609C2">
        <w:rPr>
          <w:rFonts w:asciiTheme="minorHAnsi" w:hAnsiTheme="minorHAnsi"/>
          <w:sz w:val="26"/>
          <w:szCs w:val="26"/>
        </w:rPr>
        <w:t xml:space="preserve"> No reconoce el pago de compensación a los accionistas y acreedores, ni les confiere trámite de audiencia. </w:t>
      </w:r>
      <w:r w:rsidR="0040684F" w:rsidRPr="000609C2">
        <w:rPr>
          <w:rFonts w:asciiTheme="minorHAnsi" w:hAnsiTheme="minorHAnsi"/>
          <w:sz w:val="26"/>
          <w:szCs w:val="26"/>
        </w:rPr>
        <w:t>Es contrario al Tratado de Funcionamiento</w:t>
      </w:r>
      <w:r w:rsidR="008D17E0" w:rsidRPr="000609C2">
        <w:rPr>
          <w:rFonts w:asciiTheme="minorHAnsi" w:hAnsiTheme="minorHAnsi"/>
          <w:sz w:val="26"/>
          <w:szCs w:val="26"/>
        </w:rPr>
        <w:t>,</w:t>
      </w:r>
      <w:r w:rsidR="0040684F" w:rsidRPr="000609C2">
        <w:rPr>
          <w:rFonts w:asciiTheme="minorHAnsi" w:hAnsiTheme="minorHAnsi"/>
          <w:sz w:val="26"/>
          <w:szCs w:val="26"/>
        </w:rPr>
        <w:t xml:space="preserve"> que no permite conferir a las instancias comunitarias, como dicho Reglamento hace, competencias generales y estables de supervisión de entidades bancarias y, mucho menos, de resolución, competencias que pertenecen a los Estados miembros y a sus organismos. </w:t>
      </w:r>
      <w:r w:rsidR="005619E5" w:rsidRPr="000609C2">
        <w:rPr>
          <w:rFonts w:asciiTheme="minorHAnsi" w:hAnsiTheme="minorHAnsi"/>
          <w:sz w:val="26"/>
          <w:szCs w:val="26"/>
        </w:rPr>
        <w:t xml:space="preserve">Además, dicho Reglamento es contrario al 4º Protocolo del citado Tratado, sobre organización del Banco Central Europeo (BCE), ya que crea en su seno órganos de </w:t>
      </w:r>
      <w:r w:rsidR="005619E5" w:rsidRPr="000609C2">
        <w:rPr>
          <w:rFonts w:asciiTheme="minorHAnsi" w:hAnsiTheme="minorHAnsi"/>
          <w:sz w:val="26"/>
          <w:szCs w:val="26"/>
        </w:rPr>
        <w:lastRenderedPageBreak/>
        <w:t xml:space="preserve">supervisión (MUS) y resolución (MUR), que no están previstos en dicho Protocolo. </w:t>
      </w:r>
    </w:p>
    <w:p w:rsidR="005619E5" w:rsidRPr="000609C2" w:rsidRDefault="005619E5" w:rsidP="005619E5">
      <w:pPr>
        <w:pStyle w:val="Prrafodelista"/>
        <w:rPr>
          <w:rFonts w:asciiTheme="minorHAnsi" w:hAnsiTheme="minorHAnsi"/>
          <w:sz w:val="26"/>
          <w:szCs w:val="26"/>
        </w:rPr>
      </w:pPr>
    </w:p>
    <w:p w:rsidR="001C4891" w:rsidRPr="000609C2" w:rsidRDefault="00360847" w:rsidP="008D17E0">
      <w:pPr>
        <w:pStyle w:val="Prrafodelista"/>
        <w:numPr>
          <w:ilvl w:val="0"/>
          <w:numId w:val="4"/>
        </w:numPr>
        <w:jc w:val="both"/>
        <w:rPr>
          <w:rFonts w:asciiTheme="minorHAnsi" w:hAnsiTheme="minorHAnsi"/>
          <w:sz w:val="26"/>
          <w:szCs w:val="26"/>
        </w:rPr>
      </w:pPr>
      <w:r w:rsidRPr="000609C2">
        <w:rPr>
          <w:rFonts w:asciiTheme="minorHAnsi" w:hAnsiTheme="minorHAnsi"/>
          <w:b/>
          <w:sz w:val="26"/>
          <w:szCs w:val="26"/>
        </w:rPr>
        <w:t>L</w:t>
      </w:r>
      <w:r w:rsidR="005619E5" w:rsidRPr="000609C2">
        <w:rPr>
          <w:rFonts w:asciiTheme="minorHAnsi" w:hAnsiTheme="minorHAnsi"/>
          <w:b/>
          <w:sz w:val="26"/>
          <w:szCs w:val="26"/>
        </w:rPr>
        <w:t>a situación patrimonial del Banco Popular en absoluto justificaba la medida extrema por la JUR, ni en términos de solvencia ni de liquidez</w:t>
      </w:r>
      <w:r w:rsidR="005619E5" w:rsidRPr="000609C2">
        <w:rPr>
          <w:rFonts w:asciiTheme="minorHAnsi" w:hAnsiTheme="minorHAnsi"/>
          <w:sz w:val="26"/>
          <w:szCs w:val="26"/>
        </w:rPr>
        <w:t>. La resol</w:t>
      </w:r>
      <w:r w:rsidR="003740A5" w:rsidRPr="000609C2">
        <w:rPr>
          <w:rFonts w:asciiTheme="minorHAnsi" w:hAnsiTheme="minorHAnsi"/>
          <w:sz w:val="26"/>
          <w:szCs w:val="26"/>
        </w:rPr>
        <w:t>ución fue fruto de una falta evidente en el ejercicio de la vigilancia prudencial ordinaria de la Entidad por los reguladores</w:t>
      </w:r>
      <w:r w:rsidR="0052467C" w:rsidRPr="000609C2">
        <w:rPr>
          <w:rFonts w:asciiTheme="minorHAnsi" w:hAnsiTheme="minorHAnsi"/>
          <w:sz w:val="26"/>
          <w:szCs w:val="26"/>
        </w:rPr>
        <w:t>. Estos disponían desde mucho antes de la supuesta situación de crisis de un Plan de Recuperación y Gestión del Banc</w:t>
      </w:r>
      <w:r w:rsidR="00835D9A" w:rsidRPr="000609C2">
        <w:rPr>
          <w:rFonts w:asciiTheme="minorHAnsi" w:hAnsiTheme="minorHAnsi"/>
          <w:sz w:val="26"/>
          <w:szCs w:val="26"/>
        </w:rPr>
        <w:t xml:space="preserve">o, así como </w:t>
      </w:r>
      <w:r w:rsidR="008D17E0" w:rsidRPr="000609C2">
        <w:rPr>
          <w:rFonts w:asciiTheme="minorHAnsi" w:hAnsiTheme="minorHAnsi"/>
          <w:sz w:val="26"/>
          <w:szCs w:val="26"/>
        </w:rPr>
        <w:t xml:space="preserve">de </w:t>
      </w:r>
      <w:r w:rsidR="00835D9A" w:rsidRPr="000609C2">
        <w:rPr>
          <w:rFonts w:asciiTheme="minorHAnsi" w:hAnsiTheme="minorHAnsi"/>
          <w:sz w:val="26"/>
          <w:szCs w:val="26"/>
        </w:rPr>
        <w:t>un Plan de Liquidez plenamente respaldado por activos descontables.</w:t>
      </w:r>
      <w:r w:rsidRPr="000609C2">
        <w:rPr>
          <w:rFonts w:asciiTheme="minorHAnsi" w:hAnsiTheme="minorHAnsi"/>
          <w:sz w:val="26"/>
          <w:szCs w:val="26"/>
        </w:rPr>
        <w:t xml:space="preserve"> </w:t>
      </w:r>
    </w:p>
    <w:p w:rsidR="001C4891" w:rsidRPr="000609C2" w:rsidRDefault="001C4891" w:rsidP="001C4891">
      <w:pPr>
        <w:pStyle w:val="Prrafodelista"/>
        <w:rPr>
          <w:rFonts w:asciiTheme="minorHAnsi" w:hAnsiTheme="minorHAnsi"/>
          <w:sz w:val="26"/>
          <w:szCs w:val="26"/>
        </w:rPr>
      </w:pPr>
    </w:p>
    <w:p w:rsidR="00835D9A" w:rsidRPr="000609C2" w:rsidRDefault="00360847" w:rsidP="008D17E0">
      <w:pPr>
        <w:pStyle w:val="Prrafodelista"/>
        <w:numPr>
          <w:ilvl w:val="0"/>
          <w:numId w:val="4"/>
        </w:numPr>
        <w:jc w:val="both"/>
        <w:rPr>
          <w:rFonts w:asciiTheme="minorHAnsi" w:hAnsiTheme="minorHAnsi"/>
          <w:sz w:val="26"/>
          <w:szCs w:val="26"/>
        </w:rPr>
      </w:pPr>
      <w:r w:rsidRPr="000609C2">
        <w:rPr>
          <w:rFonts w:asciiTheme="minorHAnsi" w:hAnsiTheme="minorHAnsi"/>
          <w:sz w:val="26"/>
          <w:szCs w:val="26"/>
        </w:rPr>
        <w:t xml:space="preserve">Con independencia del criterio de valoración utilizado, el recurso se dirigirá a demostrar que </w:t>
      </w:r>
      <w:r w:rsidRPr="000609C2">
        <w:rPr>
          <w:rFonts w:asciiTheme="minorHAnsi" w:hAnsiTheme="minorHAnsi"/>
          <w:b/>
          <w:sz w:val="26"/>
          <w:szCs w:val="26"/>
        </w:rPr>
        <w:t>en una valoración en escenario de concurso (valoración patrimonial), el accionista hubiera recibido un mejor tratamiento que en la valoración realizada para un escenario de resolución</w:t>
      </w:r>
      <w:r w:rsidRPr="000609C2">
        <w:rPr>
          <w:rFonts w:asciiTheme="minorHAnsi" w:hAnsiTheme="minorHAnsi"/>
          <w:sz w:val="26"/>
          <w:szCs w:val="26"/>
        </w:rPr>
        <w:t xml:space="preserve"> por falta de liquidez</w:t>
      </w:r>
      <w:r w:rsidR="00835D9A" w:rsidRPr="000609C2">
        <w:rPr>
          <w:rFonts w:asciiTheme="minorHAnsi" w:hAnsiTheme="minorHAnsi"/>
          <w:sz w:val="26"/>
          <w:szCs w:val="26"/>
        </w:rPr>
        <w:t xml:space="preserve">, por lo que </w:t>
      </w:r>
      <w:r w:rsidR="001C4891" w:rsidRPr="000609C2">
        <w:rPr>
          <w:rFonts w:asciiTheme="minorHAnsi" w:hAnsiTheme="minorHAnsi"/>
          <w:sz w:val="26"/>
          <w:szCs w:val="26"/>
        </w:rPr>
        <w:t>é</w:t>
      </w:r>
      <w:r w:rsidR="00835D9A" w:rsidRPr="000609C2">
        <w:rPr>
          <w:rFonts w:asciiTheme="minorHAnsi" w:hAnsiTheme="minorHAnsi"/>
          <w:sz w:val="26"/>
          <w:szCs w:val="26"/>
        </w:rPr>
        <w:t xml:space="preserve">sta ha de considerarse desproporcionada e injusta. </w:t>
      </w:r>
    </w:p>
    <w:p w:rsidR="00A10834" w:rsidRPr="000609C2" w:rsidRDefault="00A10834">
      <w:pPr>
        <w:pStyle w:val="Prrafodelista"/>
        <w:rPr>
          <w:rFonts w:asciiTheme="minorHAnsi" w:hAnsiTheme="minorHAnsi"/>
          <w:sz w:val="26"/>
          <w:szCs w:val="26"/>
        </w:rPr>
      </w:pPr>
    </w:p>
    <w:p w:rsidR="001C4891" w:rsidRPr="000609C2" w:rsidRDefault="000E04DF" w:rsidP="000609C2">
      <w:pPr>
        <w:pStyle w:val="Prrafodelista"/>
        <w:ind w:left="709" w:hanging="283"/>
        <w:jc w:val="both"/>
        <w:rPr>
          <w:rFonts w:asciiTheme="minorHAnsi" w:hAnsiTheme="minorHAnsi"/>
          <w:sz w:val="26"/>
          <w:szCs w:val="26"/>
        </w:rPr>
      </w:pPr>
      <w:r w:rsidRPr="000609C2">
        <w:rPr>
          <w:rFonts w:asciiTheme="minorHAnsi" w:hAnsiTheme="minorHAnsi"/>
          <w:b/>
          <w:sz w:val="26"/>
          <w:szCs w:val="26"/>
        </w:rPr>
        <w:t>4.</w:t>
      </w:r>
      <w:r w:rsidR="008D17E0" w:rsidRPr="000609C2">
        <w:rPr>
          <w:rFonts w:asciiTheme="minorHAnsi" w:hAnsiTheme="minorHAnsi"/>
          <w:sz w:val="26"/>
          <w:szCs w:val="26"/>
        </w:rPr>
        <w:tab/>
      </w:r>
      <w:r w:rsidRPr="000609C2">
        <w:rPr>
          <w:rFonts w:asciiTheme="minorHAnsi" w:hAnsiTheme="minorHAnsi"/>
          <w:sz w:val="26"/>
          <w:szCs w:val="26"/>
        </w:rPr>
        <w:t>Este recurso no tiene como fin conseguir la nulidad del acto pa</w:t>
      </w:r>
      <w:r w:rsidR="008D17E0" w:rsidRPr="000609C2">
        <w:rPr>
          <w:rFonts w:asciiTheme="minorHAnsi" w:hAnsiTheme="minorHAnsi"/>
          <w:sz w:val="26"/>
          <w:szCs w:val="26"/>
        </w:rPr>
        <w:t>ra recuperar la propiedad del Ba</w:t>
      </w:r>
      <w:r w:rsidRPr="000609C2">
        <w:rPr>
          <w:rFonts w:asciiTheme="minorHAnsi" w:hAnsiTheme="minorHAnsi"/>
          <w:sz w:val="26"/>
          <w:szCs w:val="26"/>
        </w:rPr>
        <w:t>nco. Los accionistas representados por Aemec consideran que esa retroacción es ya inviable y s</w:t>
      </w:r>
      <w:r w:rsidR="008D17E0" w:rsidRPr="000609C2">
        <w:rPr>
          <w:rFonts w:asciiTheme="minorHAnsi" w:hAnsiTheme="minorHAnsi"/>
          <w:sz w:val="26"/>
          <w:szCs w:val="26"/>
        </w:rPr>
        <w:t>ó</w:t>
      </w:r>
      <w:r w:rsidRPr="000609C2">
        <w:rPr>
          <w:rFonts w:asciiTheme="minorHAnsi" w:hAnsiTheme="minorHAnsi"/>
          <w:sz w:val="26"/>
          <w:szCs w:val="26"/>
        </w:rPr>
        <w:t>lo esperan una adecuada compensación economica por las acciones, que Aemec ha cifrado en 1,85 Euros por acción. Esta cantidad se deriva de</w:t>
      </w:r>
      <w:r w:rsidR="000609C2" w:rsidRPr="000609C2">
        <w:rPr>
          <w:rFonts w:asciiTheme="minorHAnsi" w:hAnsiTheme="minorHAnsi"/>
          <w:sz w:val="26"/>
          <w:szCs w:val="26"/>
        </w:rPr>
        <w:t xml:space="preserve"> </w:t>
      </w:r>
      <w:r w:rsidR="000609C2" w:rsidRPr="000609C2">
        <w:rPr>
          <w:rFonts w:asciiTheme="minorHAnsi" w:hAnsiTheme="minorHAnsi"/>
          <w:sz w:val="26"/>
          <w:szCs w:val="26"/>
          <w:lang w:val="es-ES_tradnl"/>
        </w:rPr>
        <w:t xml:space="preserve">las últimas cuentas anuales auditadas disponibles, según las cuales el </w:t>
      </w:r>
      <w:proofErr w:type="spellStart"/>
      <w:r w:rsidR="000609C2" w:rsidRPr="000609C2">
        <w:rPr>
          <w:rFonts w:asciiTheme="minorHAnsi" w:hAnsiTheme="minorHAnsi"/>
          <w:b/>
          <w:sz w:val="26"/>
          <w:szCs w:val="26"/>
          <w:lang w:val="es-ES_tradnl"/>
        </w:rPr>
        <w:t>Core</w:t>
      </w:r>
      <w:proofErr w:type="spellEnd"/>
      <w:r w:rsidR="000609C2" w:rsidRPr="000609C2">
        <w:rPr>
          <w:rFonts w:asciiTheme="minorHAnsi" w:hAnsiTheme="minorHAnsi"/>
          <w:b/>
          <w:sz w:val="26"/>
          <w:szCs w:val="26"/>
          <w:lang w:val="es-ES_tradnl"/>
        </w:rPr>
        <w:t xml:space="preserve"> </w:t>
      </w:r>
      <w:proofErr w:type="spellStart"/>
      <w:r w:rsidR="000609C2" w:rsidRPr="000609C2">
        <w:rPr>
          <w:rFonts w:asciiTheme="minorHAnsi" w:hAnsiTheme="minorHAnsi"/>
          <w:b/>
          <w:sz w:val="26"/>
          <w:szCs w:val="26"/>
          <w:lang w:val="es-ES_tradnl"/>
        </w:rPr>
        <w:t>EquityTier</w:t>
      </w:r>
      <w:proofErr w:type="spellEnd"/>
      <w:r w:rsidR="000609C2" w:rsidRPr="000609C2">
        <w:rPr>
          <w:rFonts w:asciiTheme="minorHAnsi" w:hAnsiTheme="minorHAnsi"/>
          <w:b/>
          <w:sz w:val="26"/>
          <w:szCs w:val="26"/>
          <w:lang w:val="es-ES_tradnl"/>
        </w:rPr>
        <w:t xml:space="preserve"> 1 </w:t>
      </w:r>
      <w:r w:rsidR="000609C2" w:rsidRPr="000609C2">
        <w:rPr>
          <w:rFonts w:asciiTheme="minorHAnsi" w:hAnsiTheme="minorHAnsi"/>
          <w:sz w:val="26"/>
          <w:szCs w:val="26"/>
          <w:lang w:val="es-ES_tradnl"/>
        </w:rPr>
        <w:t>ascendía a 7.808 millones de euros. El número de acciones de Banco Popular en el momento previo a la resolución de la JUR era de 4.200 millones. Ambas magnitudes dan como valor unitario de la acción 1,85 euros, valor que razonablemente podría considerarse que los accionistas hubieran podido percibir tras un ordenado proceso de liquidación derivado de un hipotético concurso de acreedores.</w:t>
      </w:r>
    </w:p>
    <w:p w:rsidR="000609C2" w:rsidRPr="000609C2" w:rsidRDefault="000609C2" w:rsidP="0052467C">
      <w:pPr>
        <w:pStyle w:val="Prrafodelista"/>
        <w:rPr>
          <w:rFonts w:asciiTheme="minorHAnsi" w:hAnsiTheme="minorHAnsi"/>
          <w:sz w:val="26"/>
          <w:szCs w:val="26"/>
        </w:rPr>
      </w:pPr>
    </w:p>
    <w:p w:rsidR="001C4891" w:rsidRDefault="001C4891" w:rsidP="0052467C">
      <w:pPr>
        <w:pStyle w:val="Prrafodelista"/>
        <w:rPr>
          <w:rFonts w:asciiTheme="minorHAnsi" w:hAnsiTheme="minorHAnsi"/>
          <w:sz w:val="28"/>
          <w:szCs w:val="28"/>
        </w:rPr>
      </w:pPr>
    </w:p>
    <w:p w:rsidR="001C4891" w:rsidRPr="0052467C" w:rsidRDefault="001C4891" w:rsidP="0052467C">
      <w:pPr>
        <w:pStyle w:val="Prrafodelista"/>
        <w:rPr>
          <w:rFonts w:asciiTheme="minorHAnsi" w:hAnsiTheme="minorHAnsi"/>
          <w:sz w:val="28"/>
          <w:szCs w:val="28"/>
        </w:rPr>
      </w:pPr>
    </w:p>
    <w:p w:rsidR="00835D9A" w:rsidRDefault="00835D9A" w:rsidP="008D17E0">
      <w:pPr>
        <w:pStyle w:val="Prrafodelista"/>
        <w:jc w:val="right"/>
        <w:rPr>
          <w:rFonts w:asciiTheme="minorHAnsi" w:hAnsiTheme="minorHAnsi"/>
          <w:b/>
        </w:rPr>
      </w:pPr>
      <w:r w:rsidRPr="00835D9A">
        <w:rPr>
          <w:rFonts w:asciiTheme="minorHAnsi" w:hAnsiTheme="minorHAnsi"/>
          <w:b/>
        </w:rPr>
        <w:t>Contacto de comunicación:</w:t>
      </w:r>
    </w:p>
    <w:p w:rsidR="00835D9A" w:rsidRDefault="00835D9A" w:rsidP="008D17E0">
      <w:pPr>
        <w:pStyle w:val="Prrafodelista"/>
        <w:jc w:val="right"/>
        <w:rPr>
          <w:rFonts w:asciiTheme="minorHAnsi" w:hAnsiTheme="minorHAnsi"/>
          <w:b/>
        </w:rPr>
      </w:pPr>
      <w:r w:rsidRPr="00835D9A">
        <w:rPr>
          <w:rFonts w:asciiTheme="minorHAnsi" w:hAnsiTheme="minorHAnsi"/>
          <w:b/>
        </w:rPr>
        <w:t>Juan Miguel Olry</w:t>
      </w:r>
      <w:r w:rsidR="000609C2">
        <w:rPr>
          <w:rFonts w:asciiTheme="minorHAnsi" w:hAnsiTheme="minorHAnsi"/>
          <w:b/>
        </w:rPr>
        <w:t xml:space="preserve"> de Labry</w:t>
      </w:r>
    </w:p>
    <w:p w:rsidR="005C47A4" w:rsidRDefault="00F85E8C" w:rsidP="008D17E0">
      <w:pPr>
        <w:pStyle w:val="Prrafodelista"/>
        <w:jc w:val="right"/>
        <w:rPr>
          <w:rFonts w:asciiTheme="minorHAnsi" w:hAnsiTheme="minorHAnsi"/>
        </w:rPr>
      </w:pPr>
      <w:hyperlink r:id="rId8" w:history="1">
        <w:r w:rsidR="001C4891" w:rsidRPr="005D609C">
          <w:rPr>
            <w:rStyle w:val="Hipervnculo"/>
            <w:rFonts w:asciiTheme="minorHAnsi" w:hAnsiTheme="minorHAnsi"/>
          </w:rPr>
          <w:t>jmolry-labry@cremadescalvosotelo.com</w:t>
        </w:r>
      </w:hyperlink>
    </w:p>
    <w:p w:rsidR="00842C3B" w:rsidRDefault="00842C3B" w:rsidP="008D17E0">
      <w:pPr>
        <w:jc w:val="right"/>
        <w:rPr>
          <w:rFonts w:ascii="Arial" w:hAnsi="Arial" w:cs="Arial"/>
          <w:color w:val="777777"/>
          <w:sz w:val="20"/>
          <w:szCs w:val="20"/>
          <w:shd w:val="clear" w:color="auto" w:fill="FFFFFF"/>
        </w:rPr>
      </w:pPr>
      <w:r>
        <w:rPr>
          <w:rFonts w:ascii="Arial" w:hAnsi="Arial" w:cs="Arial"/>
          <w:color w:val="777777"/>
          <w:sz w:val="20"/>
          <w:szCs w:val="20"/>
          <w:shd w:val="clear" w:color="auto" w:fill="FFFFFF"/>
        </w:rPr>
        <w:t>91 426 40 58</w:t>
      </w:r>
    </w:p>
    <w:p w:rsidR="001C4891" w:rsidRPr="00835D9A" w:rsidRDefault="001C4891" w:rsidP="00835D9A">
      <w:pPr>
        <w:pStyle w:val="Prrafodelista"/>
        <w:jc w:val="right"/>
        <w:rPr>
          <w:rFonts w:asciiTheme="minorHAnsi" w:hAnsiTheme="minorHAnsi"/>
        </w:rPr>
      </w:pPr>
    </w:p>
    <w:sectPr w:rsidR="001C4891" w:rsidRPr="00835D9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8C" w:rsidRDefault="00F85E8C" w:rsidP="0052467C">
      <w:r>
        <w:separator/>
      </w:r>
    </w:p>
  </w:endnote>
  <w:endnote w:type="continuationSeparator" w:id="0">
    <w:p w:rsidR="00F85E8C" w:rsidRDefault="00F85E8C" w:rsidP="005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8C" w:rsidRDefault="00F85E8C" w:rsidP="0052467C">
      <w:r>
        <w:separator/>
      </w:r>
    </w:p>
  </w:footnote>
  <w:footnote w:type="continuationSeparator" w:id="0">
    <w:p w:rsidR="00F85E8C" w:rsidRDefault="00F85E8C" w:rsidP="005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7C" w:rsidRDefault="0052467C" w:rsidP="0052467C">
    <w:pPr>
      <w:pStyle w:val="Encabezado"/>
      <w:jc w:val="right"/>
    </w:pPr>
    <w:r>
      <w:rPr>
        <w:noProof/>
      </w:rPr>
      <w:drawing>
        <wp:inline distT="0" distB="0" distL="0" distR="0" wp14:anchorId="5FBE344E" wp14:editId="1EE98302">
          <wp:extent cx="2999105" cy="936625"/>
          <wp:effectExtent l="19050" t="0" r="0" b="0"/>
          <wp:docPr id="1" name="Imagen 1" descr="Resultado de imagen de logo ae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aemec"/>
                  <pic:cNvPicPr>
                    <a:picLocks noChangeAspect="1" noChangeArrowheads="1"/>
                  </pic:cNvPicPr>
                </pic:nvPicPr>
                <pic:blipFill>
                  <a:blip r:embed="rId1"/>
                  <a:srcRect/>
                  <a:stretch>
                    <a:fillRect/>
                  </a:stretch>
                </pic:blipFill>
                <pic:spPr bwMode="auto">
                  <a:xfrm>
                    <a:off x="0" y="0"/>
                    <a:ext cx="2999105" cy="936625"/>
                  </a:xfrm>
                  <a:prstGeom prst="rect">
                    <a:avLst/>
                  </a:prstGeom>
                  <a:noFill/>
                  <a:ln w="9525">
                    <a:noFill/>
                    <a:miter lim="800000"/>
                    <a:headEnd/>
                    <a:tailEnd/>
                  </a:ln>
                </pic:spPr>
              </pic:pic>
            </a:graphicData>
          </a:graphic>
        </wp:inline>
      </w:drawing>
    </w:r>
  </w:p>
  <w:p w:rsidR="0052467C" w:rsidRDefault="005246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3106"/>
    <w:multiLevelType w:val="hybridMultilevel"/>
    <w:tmpl w:val="CE0896A0"/>
    <w:lvl w:ilvl="0" w:tplc="F142F9C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15574F3"/>
    <w:multiLevelType w:val="hybridMultilevel"/>
    <w:tmpl w:val="B928A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523342"/>
    <w:multiLevelType w:val="hybridMultilevel"/>
    <w:tmpl w:val="58B0BD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3D7644"/>
    <w:multiLevelType w:val="hybridMultilevel"/>
    <w:tmpl w:val="2176123E"/>
    <w:lvl w:ilvl="0" w:tplc="4AEA752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6C4230"/>
    <w:multiLevelType w:val="hybridMultilevel"/>
    <w:tmpl w:val="2A509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02"/>
    <w:rsid w:val="000609C2"/>
    <w:rsid w:val="000E04DF"/>
    <w:rsid w:val="001C4891"/>
    <w:rsid w:val="00215845"/>
    <w:rsid w:val="002655C2"/>
    <w:rsid w:val="0034596F"/>
    <w:rsid w:val="00353141"/>
    <w:rsid w:val="00360847"/>
    <w:rsid w:val="003740A5"/>
    <w:rsid w:val="0040684F"/>
    <w:rsid w:val="0052467C"/>
    <w:rsid w:val="005619E5"/>
    <w:rsid w:val="00564625"/>
    <w:rsid w:val="005C47A4"/>
    <w:rsid w:val="006A5202"/>
    <w:rsid w:val="00835D9A"/>
    <w:rsid w:val="00842C3B"/>
    <w:rsid w:val="008D17E0"/>
    <w:rsid w:val="00A10834"/>
    <w:rsid w:val="00B51C53"/>
    <w:rsid w:val="00C40459"/>
    <w:rsid w:val="00E456DE"/>
    <w:rsid w:val="00EF4D8B"/>
    <w:rsid w:val="00F85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845"/>
    <w:pPr>
      <w:ind w:left="720"/>
      <w:contextualSpacing/>
    </w:pPr>
  </w:style>
  <w:style w:type="paragraph" w:styleId="Encabezado">
    <w:name w:val="header"/>
    <w:basedOn w:val="Normal"/>
    <w:link w:val="EncabezadoCar"/>
    <w:uiPriority w:val="99"/>
    <w:rsid w:val="005C47A4"/>
    <w:pPr>
      <w:tabs>
        <w:tab w:val="center" w:pos="4252"/>
        <w:tab w:val="right" w:pos="8504"/>
      </w:tabs>
    </w:pPr>
  </w:style>
  <w:style w:type="character" w:customStyle="1" w:styleId="EncabezadoCar">
    <w:name w:val="Encabezado Car"/>
    <w:basedOn w:val="Fuentedeprrafopredeter"/>
    <w:link w:val="Encabezado"/>
    <w:uiPriority w:val="99"/>
    <w:rsid w:val="005C47A4"/>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0684F"/>
    <w:rPr>
      <w:color w:val="0000FF"/>
      <w:u w:val="single"/>
    </w:rPr>
  </w:style>
  <w:style w:type="paragraph" w:styleId="Piedepgina">
    <w:name w:val="footer"/>
    <w:basedOn w:val="Normal"/>
    <w:link w:val="PiedepginaCar"/>
    <w:uiPriority w:val="99"/>
    <w:unhideWhenUsed/>
    <w:rsid w:val="0052467C"/>
    <w:pPr>
      <w:tabs>
        <w:tab w:val="center" w:pos="4252"/>
        <w:tab w:val="right" w:pos="8504"/>
      </w:tabs>
    </w:pPr>
  </w:style>
  <w:style w:type="character" w:customStyle="1" w:styleId="PiedepginaCar">
    <w:name w:val="Pie de página Car"/>
    <w:basedOn w:val="Fuentedeprrafopredeter"/>
    <w:link w:val="Piedepgina"/>
    <w:uiPriority w:val="99"/>
    <w:rsid w:val="0052467C"/>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1C4891"/>
    <w:rPr>
      <w:color w:val="808080"/>
      <w:shd w:val="clear" w:color="auto" w:fill="E6E6E6"/>
    </w:rPr>
  </w:style>
  <w:style w:type="paragraph" w:styleId="Textodeglobo">
    <w:name w:val="Balloon Text"/>
    <w:basedOn w:val="Normal"/>
    <w:link w:val="TextodegloboCar"/>
    <w:uiPriority w:val="99"/>
    <w:semiHidden/>
    <w:unhideWhenUsed/>
    <w:rsid w:val="008D17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7E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845"/>
    <w:pPr>
      <w:ind w:left="720"/>
      <w:contextualSpacing/>
    </w:pPr>
  </w:style>
  <w:style w:type="paragraph" w:styleId="Encabezado">
    <w:name w:val="header"/>
    <w:basedOn w:val="Normal"/>
    <w:link w:val="EncabezadoCar"/>
    <w:uiPriority w:val="99"/>
    <w:rsid w:val="005C47A4"/>
    <w:pPr>
      <w:tabs>
        <w:tab w:val="center" w:pos="4252"/>
        <w:tab w:val="right" w:pos="8504"/>
      </w:tabs>
    </w:pPr>
  </w:style>
  <w:style w:type="character" w:customStyle="1" w:styleId="EncabezadoCar">
    <w:name w:val="Encabezado Car"/>
    <w:basedOn w:val="Fuentedeprrafopredeter"/>
    <w:link w:val="Encabezado"/>
    <w:uiPriority w:val="99"/>
    <w:rsid w:val="005C47A4"/>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0684F"/>
    <w:rPr>
      <w:color w:val="0000FF"/>
      <w:u w:val="single"/>
    </w:rPr>
  </w:style>
  <w:style w:type="paragraph" w:styleId="Piedepgina">
    <w:name w:val="footer"/>
    <w:basedOn w:val="Normal"/>
    <w:link w:val="PiedepginaCar"/>
    <w:uiPriority w:val="99"/>
    <w:unhideWhenUsed/>
    <w:rsid w:val="0052467C"/>
    <w:pPr>
      <w:tabs>
        <w:tab w:val="center" w:pos="4252"/>
        <w:tab w:val="right" w:pos="8504"/>
      </w:tabs>
    </w:pPr>
  </w:style>
  <w:style w:type="character" w:customStyle="1" w:styleId="PiedepginaCar">
    <w:name w:val="Pie de página Car"/>
    <w:basedOn w:val="Fuentedeprrafopredeter"/>
    <w:link w:val="Piedepgina"/>
    <w:uiPriority w:val="99"/>
    <w:rsid w:val="0052467C"/>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1C4891"/>
    <w:rPr>
      <w:color w:val="808080"/>
      <w:shd w:val="clear" w:color="auto" w:fill="E6E6E6"/>
    </w:rPr>
  </w:style>
  <w:style w:type="paragraph" w:styleId="Textodeglobo">
    <w:name w:val="Balloon Text"/>
    <w:basedOn w:val="Normal"/>
    <w:link w:val="TextodegloboCar"/>
    <w:uiPriority w:val="99"/>
    <w:semiHidden/>
    <w:unhideWhenUsed/>
    <w:rsid w:val="008D17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7E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8390">
      <w:bodyDiv w:val="1"/>
      <w:marLeft w:val="0"/>
      <w:marRight w:val="0"/>
      <w:marTop w:val="0"/>
      <w:marBottom w:val="0"/>
      <w:divBdr>
        <w:top w:val="none" w:sz="0" w:space="0" w:color="auto"/>
        <w:left w:val="none" w:sz="0" w:space="0" w:color="auto"/>
        <w:bottom w:val="none" w:sz="0" w:space="0" w:color="auto"/>
        <w:right w:val="none" w:sz="0" w:space="0" w:color="auto"/>
      </w:divBdr>
      <w:divsChild>
        <w:div w:id="172320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772082">
              <w:marLeft w:val="0"/>
              <w:marRight w:val="0"/>
              <w:marTop w:val="0"/>
              <w:marBottom w:val="0"/>
              <w:divBdr>
                <w:top w:val="none" w:sz="0" w:space="0" w:color="auto"/>
                <w:left w:val="none" w:sz="0" w:space="0" w:color="auto"/>
                <w:bottom w:val="none" w:sz="0" w:space="0" w:color="auto"/>
                <w:right w:val="none" w:sz="0" w:space="0" w:color="auto"/>
              </w:divBdr>
              <w:divsChild>
                <w:div w:id="17810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6357">
      <w:bodyDiv w:val="1"/>
      <w:marLeft w:val="0"/>
      <w:marRight w:val="0"/>
      <w:marTop w:val="0"/>
      <w:marBottom w:val="0"/>
      <w:divBdr>
        <w:top w:val="none" w:sz="0" w:space="0" w:color="auto"/>
        <w:left w:val="none" w:sz="0" w:space="0" w:color="auto"/>
        <w:bottom w:val="none" w:sz="0" w:space="0" w:color="auto"/>
        <w:right w:val="none" w:sz="0" w:space="0" w:color="auto"/>
      </w:divBdr>
      <w:divsChild>
        <w:div w:id="180631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793096">
              <w:marLeft w:val="0"/>
              <w:marRight w:val="0"/>
              <w:marTop w:val="0"/>
              <w:marBottom w:val="0"/>
              <w:divBdr>
                <w:top w:val="none" w:sz="0" w:space="0" w:color="auto"/>
                <w:left w:val="none" w:sz="0" w:space="0" w:color="auto"/>
                <w:bottom w:val="none" w:sz="0" w:space="0" w:color="auto"/>
                <w:right w:val="none" w:sz="0" w:space="0" w:color="auto"/>
              </w:divBdr>
              <w:divsChild>
                <w:div w:id="1422139629">
                  <w:marLeft w:val="0"/>
                  <w:marRight w:val="0"/>
                  <w:marTop w:val="0"/>
                  <w:marBottom w:val="0"/>
                  <w:divBdr>
                    <w:top w:val="none" w:sz="0" w:space="0" w:color="auto"/>
                    <w:left w:val="none" w:sz="0" w:space="0" w:color="auto"/>
                    <w:bottom w:val="none" w:sz="0" w:space="0" w:color="auto"/>
                    <w:right w:val="none" w:sz="0" w:space="0" w:color="auto"/>
                  </w:divBdr>
                </w:div>
                <w:div w:id="942419022">
                  <w:marLeft w:val="0"/>
                  <w:marRight w:val="0"/>
                  <w:marTop w:val="0"/>
                  <w:marBottom w:val="0"/>
                  <w:divBdr>
                    <w:top w:val="none" w:sz="0" w:space="0" w:color="auto"/>
                    <w:left w:val="none" w:sz="0" w:space="0" w:color="auto"/>
                    <w:bottom w:val="none" w:sz="0" w:space="0" w:color="auto"/>
                    <w:right w:val="none" w:sz="0" w:space="0" w:color="auto"/>
                  </w:divBdr>
                </w:div>
                <w:div w:id="10326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lry-labry@cremadescalvosotel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 Salas</dc:creator>
  <cp:lastModifiedBy>Juan Miguel Olry-labry</cp:lastModifiedBy>
  <cp:revision>4</cp:revision>
  <dcterms:created xsi:type="dcterms:W3CDTF">2017-08-01T07:43:00Z</dcterms:created>
  <dcterms:modified xsi:type="dcterms:W3CDTF">2017-08-01T09:39:00Z</dcterms:modified>
</cp:coreProperties>
</file>