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47" w:rsidRDefault="00121547"/>
    <w:p w:rsidR="00300925" w:rsidRDefault="00300925"/>
    <w:p w:rsidR="00300925" w:rsidRDefault="00300925"/>
    <w:p w:rsidR="00300925" w:rsidRDefault="00300925"/>
    <w:p w:rsidR="00300925" w:rsidRPr="00300925" w:rsidRDefault="00300925" w:rsidP="00300925">
      <w:pPr>
        <w:spacing w:after="200" w:line="276" w:lineRule="auto"/>
        <w:jc w:val="right"/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</w:pPr>
      <w:r w:rsidRPr="00300925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Nota de prensa</w:t>
      </w:r>
    </w:p>
    <w:p w:rsidR="00300925" w:rsidRPr="00300925" w:rsidRDefault="00300925" w:rsidP="0030092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3D1A19" w:rsidRDefault="00300925" w:rsidP="00547E95">
      <w:pPr>
        <w:spacing w:after="200" w:line="276" w:lineRule="auto"/>
        <w:jc w:val="center"/>
      </w:pPr>
      <w:r w:rsidRPr="00300925">
        <w:rPr>
          <w:rFonts w:asciiTheme="minorHAnsi" w:eastAsiaTheme="minorHAnsi" w:hAnsiTheme="minorHAnsi" w:cstheme="minorBidi"/>
          <w:b/>
          <w:sz w:val="32"/>
          <w:szCs w:val="32"/>
        </w:rPr>
        <w:t xml:space="preserve">FCC </w:t>
      </w:r>
      <w:proofErr w:type="spellStart"/>
      <w:r w:rsidR="00547E95">
        <w:rPr>
          <w:rFonts w:asciiTheme="minorHAnsi" w:eastAsiaTheme="minorHAnsi" w:hAnsiTheme="minorHAnsi" w:cstheme="minorBidi"/>
          <w:b/>
          <w:sz w:val="32"/>
          <w:szCs w:val="32"/>
        </w:rPr>
        <w:t>Aqualia</w:t>
      </w:r>
      <w:proofErr w:type="spellEnd"/>
      <w:r w:rsidR="00547E95">
        <w:rPr>
          <w:rFonts w:asciiTheme="minorHAnsi" w:eastAsiaTheme="minorHAnsi" w:hAnsiTheme="minorHAnsi" w:cstheme="minorBidi"/>
          <w:b/>
          <w:sz w:val="32"/>
          <w:szCs w:val="32"/>
        </w:rPr>
        <w:t xml:space="preserve"> completa con éxito la fijación del precio de dos emisiones de bonos</w:t>
      </w:r>
    </w:p>
    <w:p w:rsidR="00547E95" w:rsidRDefault="00547E95" w:rsidP="00547E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47E95" w:rsidRDefault="00547E95" w:rsidP="00547E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47E95" w:rsidRPr="00547E95" w:rsidRDefault="00547E95" w:rsidP="00547E9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7E9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Madrid, 1 de junio de 2017.</w:t>
      </w:r>
      <w:r w:rsidRPr="00525EC9">
        <w:rPr>
          <w:rFonts w:ascii="Verdana" w:hAnsi="Verdana" w:cs="Calibri"/>
          <w:sz w:val="22"/>
          <w:szCs w:val="22"/>
        </w:rPr>
        <w:t xml:space="preserve"> </w:t>
      </w:r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FCC </w:t>
      </w:r>
      <w:proofErr w:type="spellStart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Aqualia</w:t>
      </w:r>
      <w:proofErr w:type="spellEnd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la filial del Grupo FCC especialista en gestión integral del agua, ha completado con éxito la fijación del precio de dos emisiones de bonos simples, por importe de 700.000.000 €, con remuneración anual del 1,413% y vencimiento en 2022, y por importe de 650.000.000 €, con remuneración anual del 2,629% y vencimiento en 2027, respectivamente. Ambas emisiones contarán con las garantías reales sobre determinados activos del grupo FCC </w:t>
      </w:r>
      <w:proofErr w:type="spellStart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Aqualia</w:t>
      </w:r>
      <w:proofErr w:type="spellEnd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7F2CA5" w:rsidRPr="00547E95" w:rsidRDefault="00547E95" w:rsidP="00547E9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El cierre y desembolso de las emisiones se realizará en los próximos días una vez cumplidas las condiciones suspensivas habituales de este tipo de operaciones.</w:t>
      </w:r>
    </w:p>
    <w:p w:rsidR="00547E95" w:rsidRDefault="00547E95" w:rsidP="00547E9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Está previsto que, tras la aprobación y registro del correspondiente folleto, los Bonos sean admitidos a negociación en el mercado no regulado (Global Exchange </w:t>
      </w:r>
      <w:proofErr w:type="spellStart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Market</w:t>
      </w:r>
      <w:proofErr w:type="spellEnd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) de la Bolsa de Valores de Irlanda (</w:t>
      </w:r>
      <w:proofErr w:type="spellStart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>Irish</w:t>
      </w:r>
      <w:proofErr w:type="spellEnd"/>
      <w:r w:rsidRPr="00547E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Stock Exchange).</w:t>
      </w:r>
    </w:p>
    <w:p w:rsidR="00132AB0" w:rsidRDefault="00132AB0" w:rsidP="00132A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>El volumen de demanda total superó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varias veces el importe objetivo de colocación.</w:t>
      </w:r>
    </w:p>
    <w:p w:rsidR="00EA5466" w:rsidRDefault="00132AB0" w:rsidP="00EA546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consejero delegado del Grupo FCC, Carlos M. Jarque, informó que “la tasa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ponderada está cercana al 2%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Además que “</w:t>
      </w:r>
      <w:r w:rsidR="00BA0A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esta </w:t>
      </w:r>
      <w:r w:rsidR="00331C8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operación el Grupo de Servicios Ciudadanos avanza sustancialmente en </w:t>
      </w:r>
      <w:r w:rsidR="00EA54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política de </w:t>
      </w:r>
      <w:r w:rsidR="00423A9D" w:rsidRPr="00132AB0">
        <w:rPr>
          <w:rFonts w:asciiTheme="minorHAnsi" w:eastAsiaTheme="minorHAnsi" w:hAnsiTheme="minorHAnsi" w:cstheme="minorBidi"/>
          <w:sz w:val="22"/>
          <w:szCs w:val="22"/>
          <w:lang w:eastAsia="en-US"/>
        </w:rPr>
        <w:t>optimización</w:t>
      </w:r>
      <w:r w:rsid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financiera</w:t>
      </w:r>
      <w:r w:rsidR="000E39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 también en la </w:t>
      </w:r>
      <w:r w:rsidR="000E399D" w:rsidRPr="00132AB0">
        <w:rPr>
          <w:rFonts w:asciiTheme="minorHAnsi" w:eastAsiaTheme="minorHAnsi" w:hAnsiTheme="minorHAnsi" w:cstheme="minorBidi"/>
          <w:sz w:val="22"/>
          <w:szCs w:val="22"/>
          <w:lang w:eastAsia="en-US"/>
        </w:rPr>
        <w:t>re</w:t>
      </w:r>
      <w:r w:rsidR="00423A9D" w:rsidRPr="00132AB0">
        <w:rPr>
          <w:rFonts w:asciiTheme="minorHAnsi" w:eastAsiaTheme="minorHAnsi" w:hAnsiTheme="minorHAnsi" w:cstheme="minorBidi"/>
          <w:sz w:val="22"/>
          <w:szCs w:val="22"/>
          <w:lang w:eastAsia="en-US"/>
        </w:rPr>
        <w:t>ordenación</w:t>
      </w:r>
      <w:r w:rsidR="000E39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deuda bancaria remane</w:t>
      </w:r>
      <w:r w:rsidR="000E399D" w:rsidRP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>nte</w:t>
      </w:r>
      <w:r w:rsidR="00EA5466" w:rsidRP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EA5466" w:rsidRP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Reiteró que</w:t>
      </w:r>
      <w:r w:rsidR="007F2CA5" w:rsidRPr="00423A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r w:rsidR="00EA54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r w:rsidR="007F2C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compañía </w:t>
      </w:r>
      <w:r w:rsidR="00EA54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continuará con la </w:t>
      </w:r>
      <w:r w:rsidR="00EA5466" w:rsidRPr="00EA5466">
        <w:rPr>
          <w:rFonts w:asciiTheme="minorHAnsi" w:eastAsiaTheme="minorHAnsi" w:hAnsiTheme="minorHAnsi" w:cstheme="minorBidi"/>
          <w:sz w:val="22"/>
          <w:szCs w:val="22"/>
          <w:lang w:eastAsia="en-US"/>
        </w:rPr>
        <w:t>reducción de costes, gastos y una mayor eficiencia operativa, así como una estricta exigencia de rentabilidad en sus nuevos contratos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EA546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32AB0" w:rsidRDefault="00132AB0" w:rsidP="00EA546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47E95" w:rsidRDefault="00547E95"/>
    <w:p w:rsidR="003D1A19" w:rsidRDefault="003D1A19"/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D1A19">
        <w:rPr>
          <w:rFonts w:ascii="Calibri" w:eastAsia="Calibri" w:hAnsi="Calibri"/>
          <w:b/>
          <w:bCs/>
          <w:sz w:val="22"/>
          <w:szCs w:val="22"/>
          <w:lang w:eastAsia="en-US"/>
        </w:rPr>
        <w:t>Para más información:</w:t>
      </w:r>
    </w:p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D1A1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FCC Comunicación:  </w:t>
      </w:r>
    </w:p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D1A1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D4EDE03" wp14:editId="55A808F5">
            <wp:extent cx="209550" cy="152400"/>
            <wp:effectExtent l="0" t="0" r="0" b="0"/>
            <wp:docPr id="38" name="Imagen 38" descr="cid:image002.jpg@01D2206F.D5375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0" descr="cid:image002.jpg@01D2206F.D5375E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A19">
        <w:rPr>
          <w:rFonts w:ascii="Calibri" w:eastAsia="Calibri" w:hAnsi="Calibri"/>
          <w:sz w:val="22"/>
          <w:szCs w:val="22"/>
          <w:lang w:eastAsia="en-US"/>
        </w:rPr>
        <w:t> 91 757 28 51</w:t>
      </w:r>
    </w:p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D1A19">
        <w:rPr>
          <w:rFonts w:ascii="Calibri" w:eastAsia="Calibri" w:hAnsi="Calibri"/>
          <w:sz w:val="22"/>
          <w:szCs w:val="22"/>
          <w:lang w:eastAsia="en-US"/>
        </w:rPr>
        <w:t> </w:t>
      </w:r>
      <w:r w:rsidRPr="003D1A1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A6C8030" wp14:editId="1F7E7B78">
            <wp:extent cx="171450" cy="133350"/>
            <wp:effectExtent l="0" t="0" r="0" b="0"/>
            <wp:docPr id="39" name="Imagen 39" descr="cid:image003.png@01D2206F.D5375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1" descr="cid:image003.png@01D2206F.D5375E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A19">
        <w:rPr>
          <w:rFonts w:ascii="Calibri" w:eastAsia="Calibri" w:hAnsi="Calibri"/>
          <w:sz w:val="22"/>
          <w:szCs w:val="22"/>
          <w:lang w:eastAsia="en-US"/>
        </w:rPr>
        <w:t xml:space="preserve">  </w:t>
      </w:r>
      <w:hyperlink r:id="rId11" w:history="1">
        <w:r w:rsidRPr="003D1A19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comunicación@fcc.es</w:t>
        </w:r>
      </w:hyperlink>
      <w:r w:rsidRPr="003D1A19">
        <w:rPr>
          <w:rFonts w:ascii="Calibri" w:eastAsia="Calibri" w:hAnsi="Calibri"/>
          <w:sz w:val="22"/>
          <w:szCs w:val="22"/>
          <w:lang w:eastAsia="en-US"/>
        </w:rPr>
        <w:t xml:space="preserve">                                                    </w:t>
      </w:r>
    </w:p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D1A1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2536FC0" wp14:editId="65F30BB0">
            <wp:extent cx="171450" cy="209550"/>
            <wp:effectExtent l="0" t="0" r="0" b="0"/>
            <wp:docPr id="40" name="Imagen 40" descr="cid:image004.jpg@01D2206F.D5375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" descr="cid:image004.jpg@01D2206F.D5375E4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A19">
        <w:rPr>
          <w:rFonts w:ascii="Calibri" w:eastAsia="Calibri" w:hAnsi="Calibri"/>
          <w:sz w:val="22"/>
          <w:szCs w:val="22"/>
          <w:lang w:eastAsia="en-US"/>
        </w:rPr>
        <w:t>   </w:t>
      </w:r>
      <w:hyperlink r:id="rId14" w:history="1">
        <w:r w:rsidRPr="003D1A19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http://comunicacion.fcc.es</w:t>
        </w:r>
      </w:hyperlink>
    </w:p>
    <w:p w:rsidR="003D1A19" w:rsidRPr="003D1A19" w:rsidRDefault="003D1A19" w:rsidP="003D1A19">
      <w:pPr>
        <w:ind w:right="1102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3D1A1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8145134" wp14:editId="7E7C11CD">
            <wp:extent cx="180975" cy="180975"/>
            <wp:effectExtent l="0" t="0" r="9525" b="9525"/>
            <wp:docPr id="41" name="Imagen 41" descr="cid:image005.jpg@01D2206F.D5375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5.jpg@01D2206F.D5375E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A19">
        <w:rPr>
          <w:rFonts w:ascii="Calibri" w:eastAsia="Calibri" w:hAnsi="Calibri"/>
          <w:sz w:val="22"/>
          <w:szCs w:val="22"/>
          <w:lang w:val="en-US" w:eastAsia="en-US"/>
        </w:rPr>
        <w:t xml:space="preserve">  </w:t>
      </w:r>
      <w:hyperlink r:id="rId17" w:anchor="!/FCC_Group" w:history="1">
        <w:r w:rsidRPr="003D1A19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@</w:t>
        </w:r>
        <w:proofErr w:type="spellStart"/>
        <w:r w:rsidRPr="003D1A19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FCC_Group</w:t>
        </w:r>
        <w:proofErr w:type="spellEnd"/>
      </w:hyperlink>
    </w:p>
    <w:p w:rsidR="003D1A19" w:rsidRDefault="003D1A19"/>
    <w:sectPr w:rsidR="003D1A19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E2" w:rsidRDefault="001B54E2" w:rsidP="00300925">
      <w:r>
        <w:separator/>
      </w:r>
    </w:p>
  </w:endnote>
  <w:endnote w:type="continuationSeparator" w:id="0">
    <w:p w:rsidR="001B54E2" w:rsidRDefault="001B54E2" w:rsidP="003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E2" w:rsidRDefault="001B54E2" w:rsidP="00300925">
      <w:r>
        <w:separator/>
      </w:r>
    </w:p>
  </w:footnote>
  <w:footnote w:type="continuationSeparator" w:id="0">
    <w:p w:rsidR="001B54E2" w:rsidRDefault="001B54E2" w:rsidP="00300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925" w:rsidRDefault="00300925">
    <w:pPr>
      <w:pStyle w:val="Encabezado"/>
    </w:pPr>
  </w:p>
  <w:p w:rsidR="00300925" w:rsidRDefault="00300925">
    <w:pPr>
      <w:pStyle w:val="Encabezado"/>
    </w:pPr>
    <w:r>
      <w:rPr>
        <w:noProof/>
      </w:rPr>
      <w:drawing>
        <wp:inline distT="0" distB="0" distL="0" distR="0" wp14:anchorId="40C9CADE">
          <wp:extent cx="1706880" cy="524510"/>
          <wp:effectExtent l="0" t="0" r="7620" b="889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71490"/>
    <w:multiLevelType w:val="hybridMultilevel"/>
    <w:tmpl w:val="5622D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47"/>
    <w:rsid w:val="000D76F0"/>
    <w:rsid w:val="000E399D"/>
    <w:rsid w:val="00121547"/>
    <w:rsid w:val="00132AB0"/>
    <w:rsid w:val="001B54E2"/>
    <w:rsid w:val="00300925"/>
    <w:rsid w:val="00331C8B"/>
    <w:rsid w:val="00395E04"/>
    <w:rsid w:val="003D1A19"/>
    <w:rsid w:val="003D53BA"/>
    <w:rsid w:val="00423A9D"/>
    <w:rsid w:val="00547E95"/>
    <w:rsid w:val="006E3360"/>
    <w:rsid w:val="007F2CA5"/>
    <w:rsid w:val="009C5291"/>
    <w:rsid w:val="00A37FF8"/>
    <w:rsid w:val="00A71C3D"/>
    <w:rsid w:val="00BA0A87"/>
    <w:rsid w:val="00C81B29"/>
    <w:rsid w:val="00D2390D"/>
    <w:rsid w:val="00EA5466"/>
    <w:rsid w:val="00EF6993"/>
    <w:rsid w:val="00F01020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02399F-2E2D-45A7-B37C-566D215B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A546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92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009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92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47E95"/>
    <w:pPr>
      <w:spacing w:before="100" w:beforeAutospacing="1" w:after="100" w:after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2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29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apple-converted-space">
    <w:name w:val="apple-converted-space"/>
    <w:basedOn w:val="Fuentedeprrafopredeter"/>
    <w:rsid w:val="00331C8B"/>
  </w:style>
  <w:style w:type="character" w:customStyle="1" w:styleId="Ttulo4Car">
    <w:name w:val="Título 4 Car"/>
    <w:basedOn w:val="Fuentedeprrafopredeter"/>
    <w:link w:val="Ttulo4"/>
    <w:uiPriority w:val="9"/>
    <w:rsid w:val="00EA546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206F.D5375E40" TargetMode="External"/><Relationship Id="rId13" Type="http://schemas.openxmlformats.org/officeDocument/2006/relationships/image" Target="cid:image004.jpg@01D2206F.D5375E4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twitter.com/" TargetMode="External"/><Relationship Id="rId2" Type="http://schemas.openxmlformats.org/officeDocument/2006/relationships/styles" Target="styles.xml"/><Relationship Id="rId16" Type="http://schemas.openxmlformats.org/officeDocument/2006/relationships/image" Target="cid:image005.jpg@01D2206F.D5375E4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&#243;n@fcc.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cid:image003.png@01D2206F.D5375E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comunicacion.fc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Ares, Ana Maria de</dc:creator>
  <cp:keywords/>
  <dc:description/>
  <cp:lastModifiedBy>Crespo Jimenez, Juana</cp:lastModifiedBy>
  <cp:revision>7</cp:revision>
  <cp:lastPrinted>2017-06-01T07:11:00Z</cp:lastPrinted>
  <dcterms:created xsi:type="dcterms:W3CDTF">2017-06-01T06:51:00Z</dcterms:created>
  <dcterms:modified xsi:type="dcterms:W3CDTF">2017-06-01T08:24:00Z</dcterms:modified>
</cp:coreProperties>
</file>