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1E" w:rsidRDefault="0077571E" w:rsidP="000715A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262626"/>
          <w:sz w:val="32"/>
          <w:szCs w:val="32"/>
          <w:lang w:val="es-ES_tradnl" w:eastAsia="es-ES"/>
        </w:rPr>
      </w:pPr>
    </w:p>
    <w:p w:rsidR="00A225F5" w:rsidRPr="0077571E" w:rsidRDefault="006E6FD6" w:rsidP="000715A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262626"/>
          <w:sz w:val="32"/>
          <w:szCs w:val="32"/>
          <w:lang w:val="es-ES_tradnl" w:eastAsia="es-ES"/>
        </w:rPr>
      </w:pPr>
      <w:r w:rsidRPr="0077571E">
        <w:rPr>
          <w:rFonts w:ascii="Arial" w:hAnsi="Arial" w:cs="Arial"/>
          <w:b/>
          <w:bCs/>
          <w:color w:val="262626"/>
          <w:sz w:val="32"/>
          <w:szCs w:val="32"/>
          <w:lang w:val="es-ES_tradnl" w:eastAsia="es-ES"/>
        </w:rPr>
        <w:t xml:space="preserve">BMN </w:t>
      </w:r>
      <w:r w:rsidR="000715A6" w:rsidRPr="0077571E">
        <w:rPr>
          <w:rFonts w:ascii="Arial" w:hAnsi="Arial" w:cs="Arial"/>
          <w:b/>
          <w:bCs/>
          <w:color w:val="262626"/>
          <w:sz w:val="32"/>
          <w:szCs w:val="32"/>
          <w:lang w:val="es-ES_tradnl" w:eastAsia="es-ES"/>
        </w:rPr>
        <w:t xml:space="preserve">aumenta su capital en 114 puntos básicos, reduce </w:t>
      </w:r>
      <w:r w:rsidR="00033DC1">
        <w:rPr>
          <w:rFonts w:ascii="Arial" w:hAnsi="Arial" w:cs="Arial"/>
          <w:b/>
          <w:bCs/>
          <w:color w:val="262626"/>
          <w:sz w:val="32"/>
          <w:szCs w:val="32"/>
          <w:lang w:val="es-ES_tradnl" w:eastAsia="es-ES"/>
        </w:rPr>
        <w:t xml:space="preserve">un punto porcentual su </w:t>
      </w:r>
      <w:r w:rsidR="000715A6" w:rsidRPr="0077571E">
        <w:rPr>
          <w:rFonts w:ascii="Arial" w:hAnsi="Arial" w:cs="Arial"/>
          <w:b/>
          <w:bCs/>
          <w:color w:val="262626"/>
          <w:sz w:val="32"/>
          <w:szCs w:val="32"/>
          <w:lang w:val="es-ES_tradnl" w:eastAsia="es-ES"/>
        </w:rPr>
        <w:t>mora y realiza provisiones extraordinarias por 119 millones de euros</w:t>
      </w:r>
    </w:p>
    <w:p w:rsidR="00C2659E" w:rsidRDefault="00966048" w:rsidP="00966048">
      <w:pPr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8"/>
          <w:lang w:val="es-ES_tradnl" w:eastAsia="es-ES"/>
        </w:rPr>
      </w:pPr>
      <w:r w:rsidRPr="00966048">
        <w:rPr>
          <w:rFonts w:ascii="Arial" w:eastAsia="Calibri" w:hAnsi="Arial" w:cs="Arial"/>
          <w:b/>
          <w:sz w:val="24"/>
          <w:szCs w:val="28"/>
          <w:lang w:val="es-ES_tradnl" w:eastAsia="es-ES"/>
        </w:rPr>
        <w:t xml:space="preserve">El ratio de </w:t>
      </w:r>
      <w:r w:rsidR="00033DC1">
        <w:rPr>
          <w:rFonts w:ascii="Arial" w:eastAsia="Calibri" w:hAnsi="Arial" w:cs="Arial"/>
          <w:b/>
          <w:sz w:val="24"/>
          <w:szCs w:val="28"/>
          <w:lang w:val="es-ES_tradnl" w:eastAsia="es-ES"/>
        </w:rPr>
        <w:t xml:space="preserve">capital total alcanza el 12,3%, mejorando en </w:t>
      </w:r>
      <w:r w:rsidR="007F0B0E">
        <w:rPr>
          <w:rFonts w:ascii="Arial" w:eastAsia="Calibri" w:hAnsi="Arial" w:cs="Arial"/>
          <w:b/>
          <w:sz w:val="24"/>
          <w:szCs w:val="28"/>
          <w:lang w:val="es-ES_tradnl" w:eastAsia="es-ES"/>
        </w:rPr>
        <w:t xml:space="preserve">114 </w:t>
      </w:r>
      <w:r w:rsidR="00033DC1">
        <w:rPr>
          <w:rFonts w:ascii="Arial" w:eastAsia="Calibri" w:hAnsi="Arial" w:cs="Arial"/>
          <w:b/>
          <w:sz w:val="24"/>
          <w:szCs w:val="28"/>
          <w:lang w:val="es-ES_tradnl" w:eastAsia="es-ES"/>
        </w:rPr>
        <w:t xml:space="preserve">puntos básicos </w:t>
      </w:r>
    </w:p>
    <w:p w:rsidR="003D6015" w:rsidRPr="00A225F5" w:rsidRDefault="00D7466C" w:rsidP="00DA3C87">
      <w:pPr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8"/>
          <w:u w:val="single"/>
          <w:lang w:val="es-ES_tradnl" w:eastAsia="es-ES"/>
        </w:rPr>
      </w:pPr>
      <w:r w:rsidRPr="00CF2CDD">
        <w:rPr>
          <w:rFonts w:ascii="Arial" w:eastAsia="Calibri" w:hAnsi="Arial" w:cs="Arial"/>
          <w:b/>
          <w:sz w:val="24"/>
          <w:szCs w:val="28"/>
          <w:lang w:val="es-ES_tradnl" w:eastAsia="es-ES"/>
        </w:rPr>
        <w:t xml:space="preserve">El </w:t>
      </w:r>
      <w:r w:rsidR="00687592" w:rsidRPr="00CF2CDD">
        <w:rPr>
          <w:rFonts w:ascii="Arial" w:eastAsia="Calibri" w:hAnsi="Arial" w:cs="Arial"/>
          <w:b/>
          <w:sz w:val="24"/>
          <w:szCs w:val="28"/>
          <w:lang w:val="es-ES_tradnl" w:eastAsia="es-ES"/>
        </w:rPr>
        <w:t xml:space="preserve">nuevo </w:t>
      </w:r>
      <w:r w:rsidRPr="00CF2CDD">
        <w:rPr>
          <w:rFonts w:ascii="Arial" w:eastAsia="Calibri" w:hAnsi="Arial" w:cs="Arial"/>
          <w:b/>
          <w:sz w:val="24"/>
          <w:szCs w:val="28"/>
          <w:lang w:val="es-ES_tradnl" w:eastAsia="es-ES"/>
        </w:rPr>
        <w:t xml:space="preserve">crédito </w:t>
      </w:r>
      <w:r w:rsidR="003D6015" w:rsidRPr="00CF2CDD">
        <w:rPr>
          <w:rFonts w:ascii="Arial" w:eastAsia="Calibri" w:hAnsi="Arial" w:cs="Arial"/>
          <w:b/>
          <w:sz w:val="24"/>
          <w:szCs w:val="28"/>
          <w:lang w:val="es-ES_tradnl" w:eastAsia="es-ES"/>
        </w:rPr>
        <w:t xml:space="preserve">formalizado </w:t>
      </w:r>
      <w:r w:rsidR="00033DC1">
        <w:rPr>
          <w:rFonts w:ascii="Arial" w:eastAsia="Calibri" w:hAnsi="Arial" w:cs="Arial"/>
          <w:b/>
          <w:sz w:val="24"/>
          <w:szCs w:val="28"/>
          <w:lang w:val="es-ES_tradnl" w:eastAsia="es-ES"/>
        </w:rPr>
        <w:t>supera</w:t>
      </w:r>
      <w:r w:rsidR="005F2B59">
        <w:rPr>
          <w:rFonts w:ascii="Arial" w:eastAsia="Calibri" w:hAnsi="Arial" w:cs="Arial"/>
          <w:b/>
          <w:sz w:val="24"/>
          <w:szCs w:val="28"/>
          <w:lang w:val="es-ES_tradnl" w:eastAsia="es-ES"/>
        </w:rPr>
        <w:t xml:space="preserve"> </w:t>
      </w:r>
      <w:r w:rsidR="00687592" w:rsidRPr="00CF2CDD">
        <w:rPr>
          <w:rFonts w:ascii="Arial" w:eastAsia="Calibri" w:hAnsi="Arial" w:cs="Arial"/>
          <w:b/>
          <w:sz w:val="24"/>
          <w:szCs w:val="28"/>
          <w:lang w:val="es-ES_tradnl" w:eastAsia="es-ES"/>
        </w:rPr>
        <w:t>los</w:t>
      </w:r>
      <w:r w:rsidR="003D6015" w:rsidRPr="00CF2CDD">
        <w:rPr>
          <w:rFonts w:ascii="Arial" w:eastAsia="Calibri" w:hAnsi="Arial" w:cs="Arial"/>
          <w:b/>
          <w:sz w:val="24"/>
          <w:szCs w:val="28"/>
          <w:lang w:val="es-ES_tradnl" w:eastAsia="es-ES"/>
        </w:rPr>
        <w:t xml:space="preserve"> </w:t>
      </w:r>
      <w:r w:rsidR="00033DC1">
        <w:rPr>
          <w:rFonts w:ascii="Arial" w:eastAsia="Calibri" w:hAnsi="Arial" w:cs="Arial"/>
          <w:b/>
          <w:sz w:val="24"/>
          <w:szCs w:val="28"/>
          <w:lang w:val="es-ES_tradnl" w:eastAsia="es-ES"/>
        </w:rPr>
        <w:t>3.40</w:t>
      </w:r>
      <w:r w:rsidR="00A225F5">
        <w:rPr>
          <w:rFonts w:ascii="Arial" w:eastAsia="Calibri" w:hAnsi="Arial" w:cs="Arial"/>
          <w:b/>
          <w:sz w:val="24"/>
          <w:szCs w:val="28"/>
          <w:lang w:val="es-ES_tradnl" w:eastAsia="es-ES"/>
        </w:rPr>
        <w:t>0</w:t>
      </w:r>
      <w:r w:rsidR="003D6015" w:rsidRPr="00CF2CDD">
        <w:rPr>
          <w:rFonts w:ascii="Arial" w:eastAsia="Calibri" w:hAnsi="Arial" w:cs="Arial"/>
          <w:b/>
          <w:sz w:val="24"/>
          <w:szCs w:val="28"/>
          <w:lang w:val="es-ES_tradnl" w:eastAsia="es-ES"/>
        </w:rPr>
        <w:t xml:space="preserve"> millones de euros,</w:t>
      </w:r>
      <w:r w:rsidR="000715A6">
        <w:rPr>
          <w:rFonts w:ascii="Arial" w:eastAsia="Calibri" w:hAnsi="Arial" w:cs="Arial"/>
          <w:b/>
          <w:sz w:val="24"/>
          <w:szCs w:val="28"/>
          <w:lang w:val="es-ES_tradnl" w:eastAsia="es-ES"/>
        </w:rPr>
        <w:t xml:space="preserve"> con un aumento del 11%,</w:t>
      </w:r>
      <w:r w:rsidR="003D6015" w:rsidRPr="00CF2CDD">
        <w:rPr>
          <w:rFonts w:ascii="Arial" w:eastAsia="Calibri" w:hAnsi="Arial" w:cs="Arial"/>
          <w:b/>
          <w:sz w:val="24"/>
          <w:szCs w:val="28"/>
          <w:lang w:val="es-ES_tradnl" w:eastAsia="es-ES"/>
        </w:rPr>
        <w:t xml:space="preserve"> de los que </w:t>
      </w:r>
      <w:r w:rsidR="00033DC1">
        <w:rPr>
          <w:rFonts w:ascii="Arial" w:eastAsia="Calibri" w:hAnsi="Arial" w:cs="Arial"/>
          <w:b/>
          <w:sz w:val="24"/>
          <w:szCs w:val="28"/>
          <w:lang w:val="es-ES_tradnl" w:eastAsia="es-ES"/>
        </w:rPr>
        <w:t>más de 2.00</w:t>
      </w:r>
      <w:r w:rsidR="008972BE">
        <w:rPr>
          <w:rFonts w:ascii="Arial" w:eastAsia="Calibri" w:hAnsi="Arial" w:cs="Arial"/>
          <w:b/>
          <w:sz w:val="24"/>
          <w:szCs w:val="28"/>
          <w:lang w:val="es-ES_tradnl" w:eastAsia="es-ES"/>
        </w:rPr>
        <w:t>0</w:t>
      </w:r>
      <w:r w:rsidR="003D6015" w:rsidRPr="00CF2CDD">
        <w:rPr>
          <w:rFonts w:ascii="Arial" w:eastAsia="Calibri" w:hAnsi="Arial" w:cs="Arial"/>
          <w:b/>
          <w:sz w:val="24"/>
          <w:szCs w:val="28"/>
          <w:lang w:val="es-ES_tradnl" w:eastAsia="es-ES"/>
        </w:rPr>
        <w:t xml:space="preserve"> millones se han destinado a empresas</w:t>
      </w:r>
    </w:p>
    <w:p w:rsidR="00966048" w:rsidRDefault="00966048" w:rsidP="00AE5618">
      <w:pPr>
        <w:rPr>
          <w:rFonts w:ascii="Arial" w:eastAsia="Times New Roman" w:hAnsi="Arial" w:cs="Arial"/>
          <w:b/>
          <w:i/>
          <w:sz w:val="24"/>
          <w:szCs w:val="24"/>
        </w:rPr>
      </w:pPr>
    </w:p>
    <w:p w:rsidR="00AE5618" w:rsidRPr="00CF2CDD" w:rsidRDefault="00AE5618" w:rsidP="00AE5618">
      <w:pPr>
        <w:rPr>
          <w:rFonts w:ascii="Arial" w:eastAsia="Times New Roman" w:hAnsi="Arial" w:cs="Arial"/>
          <w:b/>
          <w:i/>
          <w:sz w:val="24"/>
          <w:szCs w:val="24"/>
        </w:rPr>
      </w:pPr>
      <w:r w:rsidRPr="00CF2CDD">
        <w:rPr>
          <w:rFonts w:ascii="Arial" w:eastAsia="Times New Roman" w:hAnsi="Arial" w:cs="Arial"/>
          <w:b/>
          <w:i/>
          <w:sz w:val="24"/>
          <w:szCs w:val="24"/>
        </w:rPr>
        <w:t xml:space="preserve">Madrid, </w:t>
      </w:r>
      <w:r w:rsidR="00E767BD">
        <w:rPr>
          <w:rFonts w:ascii="Arial" w:eastAsia="Times New Roman" w:hAnsi="Arial" w:cs="Arial"/>
          <w:b/>
          <w:i/>
          <w:sz w:val="24"/>
          <w:szCs w:val="24"/>
        </w:rPr>
        <w:t>24</w:t>
      </w:r>
      <w:r w:rsidR="003B1069" w:rsidRPr="00CF2CDD">
        <w:rPr>
          <w:rFonts w:ascii="Arial" w:eastAsia="Times New Roman" w:hAnsi="Arial" w:cs="Arial"/>
          <w:b/>
          <w:i/>
          <w:sz w:val="24"/>
          <w:szCs w:val="24"/>
        </w:rPr>
        <w:t xml:space="preserve"> de</w:t>
      </w:r>
      <w:r w:rsidR="00D714E1" w:rsidRPr="00CF2CDD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="00A225F5">
        <w:rPr>
          <w:rFonts w:ascii="Arial" w:eastAsia="Times New Roman" w:hAnsi="Arial" w:cs="Arial"/>
          <w:b/>
          <w:i/>
          <w:sz w:val="24"/>
          <w:szCs w:val="24"/>
        </w:rPr>
        <w:t>marzo</w:t>
      </w:r>
      <w:r w:rsidRPr="00CF2CDD">
        <w:rPr>
          <w:rFonts w:ascii="Arial" w:eastAsia="Times New Roman" w:hAnsi="Arial" w:cs="Arial"/>
          <w:b/>
          <w:i/>
          <w:sz w:val="24"/>
          <w:szCs w:val="24"/>
        </w:rPr>
        <w:t xml:space="preserve"> de 201</w:t>
      </w:r>
      <w:r w:rsidR="00A225F5">
        <w:rPr>
          <w:rFonts w:ascii="Arial" w:eastAsia="Times New Roman" w:hAnsi="Arial" w:cs="Arial"/>
          <w:b/>
          <w:i/>
          <w:sz w:val="24"/>
          <w:szCs w:val="24"/>
        </w:rPr>
        <w:t>7</w:t>
      </w:r>
    </w:p>
    <w:p w:rsidR="00033DC1" w:rsidRPr="00CF2CDD" w:rsidRDefault="00033DC1" w:rsidP="00033DC1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2CDD">
        <w:rPr>
          <w:rFonts w:ascii="Arial" w:eastAsia="Times New Roman" w:hAnsi="Arial" w:cs="Arial"/>
          <w:sz w:val="24"/>
          <w:szCs w:val="24"/>
        </w:rPr>
        <w:t xml:space="preserve">BMN ha incrementado sus nuevos créditos </w:t>
      </w:r>
      <w:r>
        <w:rPr>
          <w:rFonts w:ascii="Arial" w:eastAsia="Times New Roman" w:hAnsi="Arial" w:cs="Arial"/>
          <w:sz w:val="24"/>
          <w:szCs w:val="24"/>
        </w:rPr>
        <w:t>en el año</w:t>
      </w:r>
      <w:r w:rsidRPr="00CF2CDD">
        <w:rPr>
          <w:rFonts w:ascii="Arial" w:eastAsia="Times New Roman" w:hAnsi="Arial" w:cs="Arial"/>
          <w:sz w:val="24"/>
          <w:szCs w:val="24"/>
        </w:rPr>
        <w:t xml:space="preserve"> un </w:t>
      </w:r>
      <w:r>
        <w:rPr>
          <w:rFonts w:ascii="Arial" w:eastAsia="Times New Roman" w:hAnsi="Arial" w:cs="Arial"/>
          <w:sz w:val="24"/>
          <w:szCs w:val="24"/>
        </w:rPr>
        <w:t>11</w:t>
      </w:r>
      <w:r w:rsidRPr="00CF2CDD">
        <w:rPr>
          <w:rFonts w:ascii="Arial" w:eastAsia="Times New Roman" w:hAnsi="Arial" w:cs="Arial"/>
          <w:sz w:val="24"/>
          <w:szCs w:val="24"/>
        </w:rPr>
        <w:t>%</w:t>
      </w:r>
      <w:r>
        <w:rPr>
          <w:rFonts w:ascii="Arial" w:eastAsia="Times New Roman" w:hAnsi="Arial" w:cs="Arial"/>
          <w:sz w:val="24"/>
          <w:szCs w:val="24"/>
        </w:rPr>
        <w:t>. L</w:t>
      </w:r>
      <w:r w:rsidRPr="00CF2CDD">
        <w:rPr>
          <w:rFonts w:ascii="Arial" w:eastAsia="Times New Roman" w:hAnsi="Arial" w:cs="Arial"/>
          <w:sz w:val="24"/>
          <w:szCs w:val="24"/>
        </w:rPr>
        <w:t xml:space="preserve">as nuevas </w:t>
      </w:r>
      <w:r>
        <w:rPr>
          <w:rFonts w:ascii="Arial" w:eastAsia="Times New Roman" w:hAnsi="Arial" w:cs="Arial"/>
          <w:sz w:val="24"/>
          <w:szCs w:val="24"/>
        </w:rPr>
        <w:t>disposiciones</w:t>
      </w:r>
      <w:r w:rsidRPr="00CF2CDD">
        <w:rPr>
          <w:rFonts w:ascii="Arial" w:eastAsia="Times New Roman" w:hAnsi="Arial" w:cs="Arial"/>
          <w:sz w:val="24"/>
          <w:szCs w:val="24"/>
        </w:rPr>
        <w:t xml:space="preserve"> de crédito </w:t>
      </w:r>
      <w:r>
        <w:rPr>
          <w:rFonts w:ascii="Arial" w:eastAsia="Times New Roman" w:hAnsi="Arial" w:cs="Arial"/>
          <w:sz w:val="24"/>
          <w:szCs w:val="24"/>
        </w:rPr>
        <w:t>alcanzan los</w:t>
      </w:r>
      <w:r w:rsidRPr="00CF2CD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3.410</w:t>
      </w:r>
      <w:r w:rsidRPr="00CF2CDD">
        <w:rPr>
          <w:rFonts w:ascii="Arial" w:eastAsia="Times New Roman" w:hAnsi="Arial" w:cs="Arial"/>
          <w:sz w:val="24"/>
          <w:szCs w:val="24"/>
        </w:rPr>
        <w:t xml:space="preserve"> millones, de los que en torno a </w:t>
      </w:r>
      <w:r>
        <w:rPr>
          <w:rFonts w:ascii="Arial" w:eastAsia="Times New Roman" w:hAnsi="Arial" w:cs="Arial"/>
          <w:sz w:val="24"/>
          <w:szCs w:val="24"/>
        </w:rPr>
        <w:t>2.030</w:t>
      </w:r>
      <w:r w:rsidRPr="00CF2CDD">
        <w:rPr>
          <w:rFonts w:ascii="Arial" w:eastAsia="Times New Roman" w:hAnsi="Arial" w:cs="Arial"/>
          <w:sz w:val="24"/>
          <w:szCs w:val="24"/>
        </w:rPr>
        <w:t xml:space="preserve"> millones se han destinado a empresas</w:t>
      </w:r>
      <w:r>
        <w:rPr>
          <w:rFonts w:ascii="Arial" w:eastAsia="Times New Roman" w:hAnsi="Arial" w:cs="Arial"/>
          <w:sz w:val="24"/>
          <w:szCs w:val="24"/>
        </w:rPr>
        <w:t>, un 13% más que el año anterior. Las hipotecas a particulares, por su parte, han aumentado un 25% en el mismo periodo.</w:t>
      </w:r>
    </w:p>
    <w:p w:rsidR="008F76DD" w:rsidRDefault="008F76DD" w:rsidP="008F76DD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Este crecimiento, junto con l</w:t>
      </w:r>
      <w:r w:rsidRPr="00CF2CDD">
        <w:rPr>
          <w:rFonts w:ascii="Arial" w:eastAsia="Times New Roman" w:hAnsi="Arial" w:cs="Arial"/>
          <w:sz w:val="24"/>
          <w:szCs w:val="24"/>
        </w:rPr>
        <w:t>a mejora en la calidad del riesgo de crédito</w:t>
      </w:r>
      <w:r>
        <w:rPr>
          <w:rFonts w:ascii="Arial" w:eastAsia="Times New Roman" w:hAnsi="Arial" w:cs="Arial"/>
          <w:sz w:val="24"/>
          <w:szCs w:val="24"/>
        </w:rPr>
        <w:t xml:space="preserve"> ha permitido </w:t>
      </w:r>
      <w:r w:rsidRPr="00CF2CDD">
        <w:rPr>
          <w:rFonts w:ascii="Arial" w:eastAsia="Times New Roman" w:hAnsi="Arial" w:cs="Arial"/>
          <w:sz w:val="24"/>
          <w:szCs w:val="24"/>
        </w:rPr>
        <w:t>que la tasa de mora se sitúe en el 1</w:t>
      </w:r>
      <w:r>
        <w:rPr>
          <w:rFonts w:ascii="Arial" w:eastAsia="Times New Roman" w:hAnsi="Arial" w:cs="Arial"/>
          <w:sz w:val="24"/>
          <w:szCs w:val="24"/>
        </w:rPr>
        <w:t>0</w:t>
      </w:r>
      <w:r w:rsidRPr="00CF2CDD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>8</w:t>
      </w:r>
      <w:r w:rsidRPr="00CF2CDD">
        <w:rPr>
          <w:rFonts w:ascii="Arial" w:eastAsia="Times New Roman" w:hAnsi="Arial" w:cs="Arial"/>
          <w:sz w:val="24"/>
          <w:szCs w:val="24"/>
        </w:rPr>
        <w:t>%</w:t>
      </w:r>
      <w:r>
        <w:rPr>
          <w:rFonts w:ascii="Arial" w:eastAsia="Times New Roman" w:hAnsi="Arial" w:cs="Arial"/>
          <w:sz w:val="24"/>
          <w:szCs w:val="24"/>
        </w:rPr>
        <w:t xml:space="preserve"> (</w:t>
      </w:r>
      <w:r w:rsidR="007F0B0E">
        <w:rPr>
          <w:rFonts w:ascii="Arial" w:eastAsia="Times New Roman" w:hAnsi="Arial" w:cs="Arial"/>
          <w:sz w:val="24"/>
          <w:szCs w:val="24"/>
        </w:rPr>
        <w:t>un punto porcentual</w:t>
      </w:r>
      <w:r>
        <w:rPr>
          <w:rFonts w:ascii="Arial" w:eastAsia="Times New Roman" w:hAnsi="Arial" w:cs="Arial"/>
          <w:sz w:val="24"/>
          <w:szCs w:val="24"/>
        </w:rPr>
        <w:t xml:space="preserve"> menos en términos interanuales), con una cobertura del 40,5% y un </w:t>
      </w:r>
      <w:r w:rsidRPr="00CF2CDD">
        <w:rPr>
          <w:rFonts w:ascii="Arial" w:eastAsia="Times New Roman" w:hAnsi="Arial" w:cs="Arial"/>
          <w:sz w:val="24"/>
          <w:szCs w:val="24"/>
        </w:rPr>
        <w:t xml:space="preserve">descenso de los activos dudosos de </w:t>
      </w:r>
      <w:r>
        <w:rPr>
          <w:rFonts w:ascii="Arial" w:eastAsia="Times New Roman" w:hAnsi="Arial" w:cs="Arial"/>
          <w:sz w:val="24"/>
          <w:szCs w:val="24"/>
        </w:rPr>
        <w:t>327 millones de euros</w:t>
      </w:r>
      <w:r w:rsidR="0085399F">
        <w:rPr>
          <w:rFonts w:ascii="Arial" w:eastAsia="Times New Roman" w:hAnsi="Arial" w:cs="Arial"/>
          <w:sz w:val="24"/>
          <w:szCs w:val="24"/>
        </w:rPr>
        <w:t>, una vez incorporados los efectos de la nueva regulación contable</w:t>
      </w:r>
      <w:r>
        <w:rPr>
          <w:rFonts w:ascii="Arial" w:eastAsia="Times New Roman" w:hAnsi="Arial" w:cs="Arial"/>
          <w:sz w:val="24"/>
          <w:szCs w:val="24"/>
        </w:rPr>
        <w:t>. El 44% del saldo dudoso corresponde a hipotecas de particulares y el 86% a créditos con garantía hipotecaria. Además se produce una mejora en la composición del crédito, al reducirse un 30% el riesgo por promoción inmobiliaria. La exposición a este tipo de crédito sigue estando en niveles mínimos, un 2,7% del crédito total.</w:t>
      </w:r>
    </w:p>
    <w:p w:rsidR="00F7384A" w:rsidRDefault="008F76DD" w:rsidP="008F76DD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Por su parte, la cartera de inmuebles adjudicados desciende gracias a unas ventas de 199 millones, un 30% por encima de las del año anterior, con un resultado positivo.</w:t>
      </w:r>
    </w:p>
    <w:p w:rsidR="00F7384A" w:rsidRDefault="00F7384A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:rsidR="008F76DD" w:rsidRPr="00CF2CDD" w:rsidRDefault="008F76DD" w:rsidP="008F76DD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66048" w:rsidRPr="00CF2CDD" w:rsidRDefault="008F76DD" w:rsidP="00966048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En lo referente a la cuenta de resultados, a</w:t>
      </w:r>
      <w:r w:rsidR="00033DC1">
        <w:rPr>
          <w:rFonts w:ascii="Arial" w:eastAsia="Times New Roman" w:hAnsi="Arial" w:cs="Arial"/>
          <w:sz w:val="24"/>
          <w:szCs w:val="24"/>
        </w:rPr>
        <w:t xml:space="preserve"> pesar del entorno de tipos de interés, el impacto de la menor retribución de los bonos del </w:t>
      </w:r>
      <w:proofErr w:type="spellStart"/>
      <w:r w:rsidR="00033DC1">
        <w:rPr>
          <w:rFonts w:ascii="Arial" w:eastAsia="Times New Roman" w:hAnsi="Arial" w:cs="Arial"/>
          <w:sz w:val="24"/>
          <w:szCs w:val="24"/>
        </w:rPr>
        <w:t>Sareb</w:t>
      </w:r>
      <w:proofErr w:type="spellEnd"/>
      <w:r w:rsidR="00033DC1">
        <w:rPr>
          <w:rFonts w:ascii="Arial" w:eastAsia="Times New Roman" w:hAnsi="Arial" w:cs="Arial"/>
          <w:sz w:val="24"/>
          <w:szCs w:val="24"/>
        </w:rPr>
        <w:t xml:space="preserve"> y la reducción de la cartera de renta fija, su margen de intereses </w:t>
      </w:r>
      <w:r w:rsidR="005F2B59">
        <w:rPr>
          <w:rFonts w:ascii="Arial" w:eastAsia="Times New Roman" w:hAnsi="Arial" w:cs="Arial"/>
          <w:sz w:val="24"/>
          <w:szCs w:val="24"/>
        </w:rPr>
        <w:t>ha alcanzado los</w:t>
      </w:r>
      <w:r w:rsidR="007F0B0E">
        <w:rPr>
          <w:rFonts w:ascii="Arial" w:eastAsia="Times New Roman" w:hAnsi="Arial" w:cs="Arial"/>
          <w:sz w:val="24"/>
          <w:szCs w:val="24"/>
        </w:rPr>
        <w:t xml:space="preserve"> </w:t>
      </w:r>
      <w:r w:rsidR="005F2B59">
        <w:rPr>
          <w:rFonts w:ascii="Arial" w:eastAsia="Times New Roman" w:hAnsi="Arial" w:cs="Arial"/>
          <w:sz w:val="24"/>
          <w:szCs w:val="24"/>
        </w:rPr>
        <w:t xml:space="preserve">372 millones de euros, </w:t>
      </w:r>
      <w:r w:rsidR="00033DC1">
        <w:rPr>
          <w:rFonts w:ascii="Arial" w:eastAsia="Times New Roman" w:hAnsi="Arial" w:cs="Arial"/>
          <w:sz w:val="24"/>
          <w:szCs w:val="24"/>
        </w:rPr>
        <w:t>con un crecimiento del 3,2% en el último trimestre. E</w:t>
      </w:r>
      <w:r w:rsidR="00966048" w:rsidRPr="00CF2CDD">
        <w:rPr>
          <w:rFonts w:ascii="Arial" w:eastAsia="Times New Roman" w:hAnsi="Arial" w:cs="Arial"/>
          <w:sz w:val="24"/>
          <w:szCs w:val="24"/>
        </w:rPr>
        <w:t xml:space="preserve">l margen de clientes </w:t>
      </w:r>
      <w:r w:rsidR="00966048">
        <w:rPr>
          <w:rFonts w:ascii="Arial" w:eastAsia="Times New Roman" w:hAnsi="Arial" w:cs="Arial"/>
          <w:sz w:val="24"/>
          <w:szCs w:val="24"/>
        </w:rPr>
        <w:t>se sit</w:t>
      </w:r>
      <w:r w:rsidR="00C2659E">
        <w:rPr>
          <w:rFonts w:ascii="Arial" w:eastAsia="Times New Roman" w:hAnsi="Arial" w:cs="Arial"/>
          <w:sz w:val="24"/>
          <w:szCs w:val="24"/>
        </w:rPr>
        <w:t>úa</w:t>
      </w:r>
      <w:r w:rsidR="00966048">
        <w:rPr>
          <w:rFonts w:ascii="Arial" w:eastAsia="Times New Roman" w:hAnsi="Arial" w:cs="Arial"/>
          <w:sz w:val="24"/>
          <w:szCs w:val="24"/>
        </w:rPr>
        <w:t xml:space="preserve"> en el </w:t>
      </w:r>
      <w:r w:rsidR="00A225F5">
        <w:rPr>
          <w:rFonts w:ascii="Arial" w:eastAsia="Times New Roman" w:hAnsi="Arial" w:cs="Arial"/>
          <w:sz w:val="24"/>
          <w:szCs w:val="24"/>
        </w:rPr>
        <w:t>1,98%</w:t>
      </w:r>
      <w:r w:rsidR="00966048" w:rsidRPr="00CF2CDD">
        <w:rPr>
          <w:rFonts w:ascii="Arial" w:eastAsia="Times New Roman" w:hAnsi="Arial" w:cs="Arial"/>
          <w:sz w:val="24"/>
          <w:szCs w:val="24"/>
        </w:rPr>
        <w:t xml:space="preserve"> </w:t>
      </w:r>
      <w:r w:rsidR="00966048">
        <w:rPr>
          <w:rFonts w:ascii="Arial" w:eastAsia="Times New Roman" w:hAnsi="Arial" w:cs="Arial"/>
          <w:sz w:val="24"/>
          <w:szCs w:val="24"/>
        </w:rPr>
        <w:t>manteniéndose como uno de los mejores del sector</w:t>
      </w:r>
      <w:r w:rsidR="00A225F5">
        <w:rPr>
          <w:rFonts w:ascii="Arial" w:eastAsia="Times New Roman" w:hAnsi="Arial" w:cs="Arial"/>
          <w:sz w:val="24"/>
          <w:szCs w:val="24"/>
        </w:rPr>
        <w:t>, como también lo es</w:t>
      </w:r>
      <w:r w:rsidR="00C2659E">
        <w:rPr>
          <w:rFonts w:ascii="Arial" w:eastAsia="Times New Roman" w:hAnsi="Arial" w:cs="Arial"/>
          <w:sz w:val="24"/>
          <w:szCs w:val="24"/>
        </w:rPr>
        <w:t xml:space="preserve"> el tipo de los </w:t>
      </w:r>
      <w:r w:rsidR="00A225F5">
        <w:rPr>
          <w:rFonts w:ascii="Arial" w:eastAsia="Times New Roman" w:hAnsi="Arial" w:cs="Arial"/>
          <w:sz w:val="24"/>
          <w:szCs w:val="24"/>
        </w:rPr>
        <w:t>nuevos créditos concedidos (2,73</w:t>
      </w:r>
      <w:r w:rsidR="00C2659E">
        <w:rPr>
          <w:rFonts w:ascii="Arial" w:eastAsia="Times New Roman" w:hAnsi="Arial" w:cs="Arial"/>
          <w:sz w:val="24"/>
          <w:szCs w:val="24"/>
        </w:rPr>
        <w:t>%</w:t>
      </w:r>
      <w:r w:rsidR="00A225F5">
        <w:rPr>
          <w:rFonts w:ascii="Arial" w:eastAsia="Times New Roman" w:hAnsi="Arial" w:cs="Arial"/>
          <w:sz w:val="24"/>
          <w:szCs w:val="24"/>
        </w:rPr>
        <w:t>)</w:t>
      </w:r>
      <w:r w:rsidR="007D093C">
        <w:rPr>
          <w:rFonts w:ascii="Arial" w:eastAsia="Times New Roman" w:hAnsi="Arial" w:cs="Arial"/>
          <w:sz w:val="24"/>
          <w:szCs w:val="24"/>
        </w:rPr>
        <w:t>.</w:t>
      </w:r>
      <w:r w:rsidR="00966048" w:rsidRPr="00CF2CDD">
        <w:rPr>
          <w:rFonts w:ascii="Arial" w:eastAsia="Times New Roman" w:hAnsi="Arial" w:cs="Arial"/>
          <w:sz w:val="24"/>
          <w:szCs w:val="24"/>
        </w:rPr>
        <w:t xml:space="preserve"> </w:t>
      </w:r>
    </w:p>
    <w:p w:rsidR="00966048" w:rsidRDefault="0087790C" w:rsidP="00EA0EF8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2CDD">
        <w:rPr>
          <w:rFonts w:ascii="Arial" w:eastAsia="Times New Roman" w:hAnsi="Arial" w:cs="Arial"/>
          <w:sz w:val="24"/>
          <w:szCs w:val="24"/>
        </w:rPr>
        <w:t>Las</w:t>
      </w:r>
      <w:r w:rsidR="006E6FD6" w:rsidRPr="00CF2CDD">
        <w:rPr>
          <w:rFonts w:ascii="Arial" w:eastAsia="Times New Roman" w:hAnsi="Arial" w:cs="Arial"/>
          <w:sz w:val="24"/>
          <w:szCs w:val="24"/>
        </w:rPr>
        <w:t xml:space="preserve"> comisiones netas </w:t>
      </w:r>
      <w:r w:rsidR="00C2659E">
        <w:rPr>
          <w:rFonts w:ascii="Arial" w:eastAsia="Times New Roman" w:hAnsi="Arial" w:cs="Arial"/>
          <w:sz w:val="24"/>
          <w:szCs w:val="24"/>
        </w:rPr>
        <w:t>suponen</w:t>
      </w:r>
      <w:r w:rsidRPr="00CF2CDD">
        <w:rPr>
          <w:rFonts w:ascii="Arial" w:eastAsia="Times New Roman" w:hAnsi="Arial" w:cs="Arial"/>
          <w:sz w:val="24"/>
          <w:szCs w:val="24"/>
        </w:rPr>
        <w:t xml:space="preserve"> </w:t>
      </w:r>
      <w:r w:rsidR="00A225F5">
        <w:rPr>
          <w:rFonts w:ascii="Arial" w:eastAsia="Times New Roman" w:hAnsi="Arial" w:cs="Arial"/>
          <w:sz w:val="24"/>
          <w:szCs w:val="24"/>
        </w:rPr>
        <w:t>204</w:t>
      </w:r>
      <w:r w:rsidRPr="00CF2CDD">
        <w:rPr>
          <w:rFonts w:ascii="Arial" w:eastAsia="Times New Roman" w:hAnsi="Arial" w:cs="Arial"/>
          <w:sz w:val="24"/>
          <w:szCs w:val="24"/>
        </w:rPr>
        <w:t xml:space="preserve"> millones, </w:t>
      </w:r>
      <w:r w:rsidR="00A225F5">
        <w:rPr>
          <w:rFonts w:ascii="Arial" w:eastAsia="Times New Roman" w:hAnsi="Arial" w:cs="Arial"/>
          <w:sz w:val="24"/>
          <w:szCs w:val="24"/>
        </w:rPr>
        <w:t xml:space="preserve">un 3,5% más que el año anterior, </w:t>
      </w:r>
      <w:r w:rsidR="00966048">
        <w:rPr>
          <w:rFonts w:ascii="Arial" w:eastAsia="Times New Roman" w:hAnsi="Arial" w:cs="Arial"/>
          <w:sz w:val="24"/>
          <w:szCs w:val="24"/>
        </w:rPr>
        <w:t>apoyadas</w:t>
      </w:r>
      <w:r w:rsidR="009F2E58">
        <w:rPr>
          <w:rFonts w:ascii="Arial" w:eastAsia="Times New Roman" w:hAnsi="Arial" w:cs="Arial"/>
          <w:sz w:val="24"/>
          <w:szCs w:val="24"/>
        </w:rPr>
        <w:t>, entre otros,</w:t>
      </w:r>
      <w:r w:rsidR="00966048">
        <w:rPr>
          <w:rFonts w:ascii="Arial" w:eastAsia="Times New Roman" w:hAnsi="Arial" w:cs="Arial"/>
          <w:sz w:val="24"/>
          <w:szCs w:val="24"/>
        </w:rPr>
        <w:t xml:space="preserve"> en un crecimiento del </w:t>
      </w:r>
      <w:r w:rsidR="00304747">
        <w:rPr>
          <w:rFonts w:ascii="Arial" w:eastAsia="Times New Roman" w:hAnsi="Arial" w:cs="Arial"/>
          <w:sz w:val="24"/>
          <w:szCs w:val="24"/>
        </w:rPr>
        <w:t>57</w:t>
      </w:r>
      <w:r w:rsidR="00966048">
        <w:rPr>
          <w:rFonts w:ascii="Arial" w:eastAsia="Times New Roman" w:hAnsi="Arial" w:cs="Arial"/>
          <w:sz w:val="24"/>
          <w:szCs w:val="24"/>
        </w:rPr>
        <w:t>% de los fondos de inversión. Por su parte, los resultados de operaciones financieras</w:t>
      </w:r>
      <w:r w:rsidR="0077571E">
        <w:rPr>
          <w:rFonts w:ascii="Arial" w:eastAsia="Times New Roman" w:hAnsi="Arial" w:cs="Arial"/>
          <w:sz w:val="24"/>
          <w:szCs w:val="24"/>
        </w:rPr>
        <w:t xml:space="preserve"> y diferencia</w:t>
      </w:r>
      <w:r w:rsidR="00973F3D">
        <w:rPr>
          <w:rFonts w:ascii="Arial" w:eastAsia="Times New Roman" w:hAnsi="Arial" w:cs="Arial"/>
          <w:sz w:val="24"/>
          <w:szCs w:val="24"/>
        </w:rPr>
        <w:t>s</w:t>
      </w:r>
      <w:r w:rsidR="0077571E">
        <w:rPr>
          <w:rFonts w:ascii="Arial" w:eastAsia="Times New Roman" w:hAnsi="Arial" w:cs="Arial"/>
          <w:sz w:val="24"/>
          <w:szCs w:val="24"/>
        </w:rPr>
        <w:t xml:space="preserve"> de cambio</w:t>
      </w:r>
      <w:r w:rsidR="00966048">
        <w:rPr>
          <w:rFonts w:ascii="Arial" w:eastAsia="Times New Roman" w:hAnsi="Arial" w:cs="Arial"/>
          <w:sz w:val="24"/>
          <w:szCs w:val="24"/>
        </w:rPr>
        <w:t xml:space="preserve"> </w:t>
      </w:r>
      <w:r w:rsidR="00C2659E">
        <w:rPr>
          <w:rFonts w:ascii="Arial" w:eastAsia="Times New Roman" w:hAnsi="Arial" w:cs="Arial"/>
          <w:sz w:val="24"/>
          <w:szCs w:val="24"/>
        </w:rPr>
        <w:t>suman</w:t>
      </w:r>
      <w:r w:rsidR="00966048">
        <w:rPr>
          <w:rFonts w:ascii="Arial" w:eastAsia="Times New Roman" w:hAnsi="Arial" w:cs="Arial"/>
          <w:sz w:val="24"/>
          <w:szCs w:val="24"/>
        </w:rPr>
        <w:t xml:space="preserve"> 1</w:t>
      </w:r>
      <w:r w:rsidR="0077571E">
        <w:rPr>
          <w:rFonts w:ascii="Arial" w:eastAsia="Times New Roman" w:hAnsi="Arial" w:cs="Arial"/>
          <w:sz w:val="24"/>
          <w:szCs w:val="24"/>
        </w:rPr>
        <w:t>83</w:t>
      </w:r>
      <w:r w:rsidR="00966048">
        <w:rPr>
          <w:rFonts w:ascii="Arial" w:eastAsia="Times New Roman" w:hAnsi="Arial" w:cs="Arial"/>
          <w:sz w:val="24"/>
          <w:szCs w:val="24"/>
        </w:rPr>
        <w:t xml:space="preserve"> millones</w:t>
      </w:r>
      <w:r w:rsidR="0077571E">
        <w:rPr>
          <w:rFonts w:ascii="Arial" w:eastAsia="Times New Roman" w:hAnsi="Arial" w:cs="Arial"/>
          <w:sz w:val="24"/>
          <w:szCs w:val="24"/>
        </w:rPr>
        <w:t>, fundamentalmente</w:t>
      </w:r>
      <w:r w:rsidR="00973F3D">
        <w:rPr>
          <w:rFonts w:ascii="Arial" w:eastAsia="Times New Roman" w:hAnsi="Arial" w:cs="Arial"/>
          <w:sz w:val="24"/>
          <w:szCs w:val="24"/>
        </w:rPr>
        <w:t>,</w:t>
      </w:r>
      <w:r w:rsidR="0077571E">
        <w:rPr>
          <w:rFonts w:ascii="Arial" w:eastAsia="Times New Roman" w:hAnsi="Arial" w:cs="Arial"/>
          <w:sz w:val="24"/>
          <w:szCs w:val="24"/>
        </w:rPr>
        <w:t xml:space="preserve"> </w:t>
      </w:r>
      <w:r w:rsidR="00033DC1">
        <w:rPr>
          <w:rFonts w:ascii="Arial" w:eastAsia="Times New Roman" w:hAnsi="Arial" w:cs="Arial"/>
          <w:sz w:val="24"/>
          <w:szCs w:val="24"/>
        </w:rPr>
        <w:t xml:space="preserve">como consecuencia de los resultados obtenidos en la venta de </w:t>
      </w:r>
      <w:r w:rsidR="0077571E">
        <w:rPr>
          <w:rFonts w:ascii="Arial" w:eastAsia="Times New Roman" w:hAnsi="Arial" w:cs="Arial"/>
          <w:sz w:val="24"/>
          <w:szCs w:val="24"/>
        </w:rPr>
        <w:t>cartera de renta fija.</w:t>
      </w:r>
      <w:r w:rsidR="00363DD2" w:rsidRPr="00CF2CDD">
        <w:rPr>
          <w:rFonts w:ascii="Arial" w:eastAsia="Times New Roman" w:hAnsi="Arial" w:cs="Arial"/>
          <w:sz w:val="24"/>
          <w:szCs w:val="24"/>
        </w:rPr>
        <w:t xml:space="preserve"> </w:t>
      </w:r>
    </w:p>
    <w:p w:rsidR="00CF2CDD" w:rsidRDefault="00033DC1" w:rsidP="00EA0EF8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 esta forma, e</w:t>
      </w:r>
      <w:r w:rsidR="00363DD2" w:rsidRPr="00CF2CDD">
        <w:rPr>
          <w:rFonts w:ascii="Arial" w:eastAsia="Times New Roman" w:hAnsi="Arial" w:cs="Arial"/>
          <w:sz w:val="24"/>
          <w:szCs w:val="24"/>
        </w:rPr>
        <w:t xml:space="preserve">l margen </w:t>
      </w:r>
      <w:r w:rsidR="00F85CA3" w:rsidRPr="00CF2CDD">
        <w:rPr>
          <w:rFonts w:ascii="Arial" w:eastAsia="Times New Roman" w:hAnsi="Arial" w:cs="Arial"/>
          <w:sz w:val="24"/>
          <w:szCs w:val="24"/>
        </w:rPr>
        <w:t xml:space="preserve">bruto </w:t>
      </w:r>
      <w:r>
        <w:rPr>
          <w:rFonts w:ascii="Arial" w:eastAsia="Times New Roman" w:hAnsi="Arial" w:cs="Arial"/>
          <w:sz w:val="24"/>
          <w:szCs w:val="24"/>
        </w:rPr>
        <w:t>alcanza los</w:t>
      </w:r>
      <w:r w:rsidR="00F85CA3" w:rsidRPr="00CF2CDD">
        <w:rPr>
          <w:rFonts w:ascii="Arial" w:eastAsia="Times New Roman" w:hAnsi="Arial" w:cs="Arial"/>
          <w:sz w:val="24"/>
          <w:szCs w:val="24"/>
        </w:rPr>
        <w:t xml:space="preserve"> </w:t>
      </w:r>
      <w:r w:rsidR="00A225F5">
        <w:rPr>
          <w:rFonts w:ascii="Arial" w:eastAsia="Times New Roman" w:hAnsi="Arial" w:cs="Arial"/>
          <w:sz w:val="24"/>
          <w:szCs w:val="24"/>
        </w:rPr>
        <w:t xml:space="preserve">731 </w:t>
      </w:r>
      <w:r w:rsidR="00F85CA3" w:rsidRPr="00CF2CDD">
        <w:rPr>
          <w:rFonts w:ascii="Arial" w:eastAsia="Times New Roman" w:hAnsi="Arial" w:cs="Arial"/>
          <w:sz w:val="24"/>
          <w:szCs w:val="24"/>
        </w:rPr>
        <w:t>millones de euros</w:t>
      </w:r>
      <w:r w:rsidR="00966048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>A su vez, e</w:t>
      </w:r>
      <w:r w:rsidR="00966048">
        <w:rPr>
          <w:rFonts w:ascii="Arial" w:eastAsia="Times New Roman" w:hAnsi="Arial" w:cs="Arial"/>
          <w:sz w:val="24"/>
          <w:szCs w:val="24"/>
        </w:rPr>
        <w:t xml:space="preserve">l esfuerzo de reestructuración realizado permite reducir los gastos de explotación un </w:t>
      </w:r>
      <w:r w:rsidR="00A225F5">
        <w:rPr>
          <w:rFonts w:ascii="Arial" w:eastAsia="Times New Roman" w:hAnsi="Arial" w:cs="Arial"/>
          <w:sz w:val="24"/>
          <w:szCs w:val="24"/>
        </w:rPr>
        <w:t>6,1%</w:t>
      </w:r>
      <w:r w:rsidR="0096604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hasta los 391 millones, lo que sitúa </w:t>
      </w:r>
      <w:r w:rsidR="00C2659E">
        <w:rPr>
          <w:rFonts w:ascii="Arial" w:eastAsia="Times New Roman" w:hAnsi="Arial" w:cs="Arial"/>
          <w:sz w:val="24"/>
          <w:szCs w:val="24"/>
        </w:rPr>
        <w:t>e</w:t>
      </w:r>
      <w:r w:rsidR="007E0586" w:rsidRPr="00CF2CDD">
        <w:rPr>
          <w:rFonts w:ascii="Arial" w:eastAsia="Times New Roman" w:hAnsi="Arial" w:cs="Arial"/>
          <w:sz w:val="24"/>
          <w:szCs w:val="24"/>
        </w:rPr>
        <w:t>l</w:t>
      </w:r>
      <w:r w:rsidR="00F85CA3" w:rsidRPr="00CF2CDD">
        <w:rPr>
          <w:rFonts w:ascii="Arial" w:eastAsia="Times New Roman" w:hAnsi="Arial" w:cs="Arial"/>
          <w:sz w:val="24"/>
          <w:szCs w:val="24"/>
        </w:rPr>
        <w:t xml:space="preserve"> margen </w:t>
      </w:r>
      <w:r w:rsidR="00363DD2" w:rsidRPr="00CF2CDD">
        <w:rPr>
          <w:rFonts w:ascii="Arial" w:eastAsia="Times New Roman" w:hAnsi="Arial" w:cs="Arial"/>
          <w:sz w:val="24"/>
          <w:szCs w:val="24"/>
        </w:rPr>
        <w:t>antes de provisiones</w:t>
      </w:r>
      <w:r>
        <w:rPr>
          <w:rFonts w:ascii="Arial" w:eastAsia="Times New Roman" w:hAnsi="Arial" w:cs="Arial"/>
          <w:sz w:val="24"/>
          <w:szCs w:val="24"/>
        </w:rPr>
        <w:t xml:space="preserve"> en</w:t>
      </w:r>
      <w:r w:rsidR="00206257" w:rsidRPr="00CF2CDD">
        <w:rPr>
          <w:rFonts w:ascii="Arial" w:eastAsia="Times New Roman" w:hAnsi="Arial" w:cs="Arial"/>
          <w:sz w:val="24"/>
          <w:szCs w:val="24"/>
        </w:rPr>
        <w:t xml:space="preserve"> </w:t>
      </w:r>
      <w:r w:rsidR="00A225F5">
        <w:rPr>
          <w:rFonts w:ascii="Arial" w:eastAsia="Times New Roman" w:hAnsi="Arial" w:cs="Arial"/>
          <w:sz w:val="24"/>
          <w:szCs w:val="24"/>
        </w:rPr>
        <w:t>340</w:t>
      </w:r>
      <w:r w:rsidR="00897908" w:rsidRPr="00CF2CDD">
        <w:rPr>
          <w:rFonts w:ascii="Arial" w:eastAsia="Times New Roman" w:hAnsi="Arial" w:cs="Arial"/>
          <w:sz w:val="24"/>
          <w:szCs w:val="24"/>
        </w:rPr>
        <w:t xml:space="preserve"> millones de euros</w:t>
      </w:r>
      <w:r w:rsidR="00966048">
        <w:rPr>
          <w:rFonts w:ascii="Arial" w:eastAsia="Times New Roman" w:hAnsi="Arial" w:cs="Arial"/>
          <w:sz w:val="24"/>
          <w:szCs w:val="24"/>
        </w:rPr>
        <w:t>.</w:t>
      </w:r>
      <w:r w:rsidR="00AF435A" w:rsidRPr="00CF2CDD">
        <w:rPr>
          <w:rFonts w:ascii="Arial" w:eastAsia="Times New Roman" w:hAnsi="Arial" w:cs="Arial"/>
          <w:sz w:val="24"/>
          <w:szCs w:val="24"/>
        </w:rPr>
        <w:t xml:space="preserve"> </w:t>
      </w:r>
    </w:p>
    <w:p w:rsidR="00756EB5" w:rsidRDefault="008F76DD" w:rsidP="00C2659E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El importe total de provisiones, deterioros y pérdidas por ventas asciende a </w:t>
      </w:r>
      <w:r w:rsidR="00A4688E">
        <w:rPr>
          <w:rFonts w:ascii="Arial" w:eastAsia="Times New Roman" w:hAnsi="Arial" w:cs="Arial"/>
          <w:sz w:val="24"/>
          <w:szCs w:val="24"/>
        </w:rPr>
        <w:t>422 millones de euros</w:t>
      </w:r>
      <w:r>
        <w:rPr>
          <w:rFonts w:ascii="Arial" w:eastAsia="Times New Roman" w:hAnsi="Arial" w:cs="Arial"/>
          <w:sz w:val="24"/>
          <w:szCs w:val="24"/>
        </w:rPr>
        <w:t xml:space="preserve">, de los que </w:t>
      </w:r>
      <w:r w:rsidR="00756EB5">
        <w:rPr>
          <w:rFonts w:ascii="Arial" w:eastAsia="Times New Roman" w:hAnsi="Arial" w:cs="Arial"/>
          <w:sz w:val="24"/>
          <w:szCs w:val="24"/>
        </w:rPr>
        <w:t xml:space="preserve">119 millones de euros </w:t>
      </w:r>
      <w:r>
        <w:rPr>
          <w:rFonts w:ascii="Arial" w:eastAsia="Times New Roman" w:hAnsi="Arial" w:cs="Arial"/>
          <w:sz w:val="24"/>
          <w:szCs w:val="24"/>
        </w:rPr>
        <w:t xml:space="preserve">corresponden a dotaciones no recurrentes </w:t>
      </w:r>
      <w:r w:rsidR="00756EB5">
        <w:rPr>
          <w:rFonts w:ascii="Arial" w:eastAsia="Times New Roman" w:hAnsi="Arial" w:cs="Arial"/>
          <w:sz w:val="24"/>
          <w:szCs w:val="24"/>
        </w:rPr>
        <w:t xml:space="preserve">de carácter extraordinario. </w:t>
      </w:r>
      <w:r>
        <w:rPr>
          <w:rFonts w:ascii="Arial" w:eastAsia="Times New Roman" w:hAnsi="Arial" w:cs="Arial"/>
          <w:sz w:val="24"/>
          <w:szCs w:val="24"/>
        </w:rPr>
        <w:t>En consecuencia</w:t>
      </w:r>
      <w:r w:rsidR="00A4688E">
        <w:rPr>
          <w:rFonts w:ascii="Arial" w:eastAsia="Times New Roman" w:hAnsi="Arial" w:cs="Arial"/>
          <w:sz w:val="24"/>
          <w:szCs w:val="24"/>
        </w:rPr>
        <w:t>, el Grupo registra un resultado negativo de 3</w:t>
      </w:r>
      <w:r w:rsidR="008A3E31">
        <w:rPr>
          <w:rFonts w:ascii="Arial" w:eastAsia="Times New Roman" w:hAnsi="Arial" w:cs="Arial"/>
          <w:sz w:val="24"/>
          <w:szCs w:val="24"/>
        </w:rPr>
        <w:t>9</w:t>
      </w:r>
      <w:r w:rsidR="00A4688E">
        <w:rPr>
          <w:rFonts w:ascii="Arial" w:eastAsia="Times New Roman" w:hAnsi="Arial" w:cs="Arial"/>
          <w:sz w:val="24"/>
          <w:szCs w:val="24"/>
        </w:rPr>
        <w:t xml:space="preserve"> millones de euros. </w:t>
      </w:r>
      <w:r w:rsidR="00756EB5">
        <w:rPr>
          <w:rFonts w:ascii="Arial" w:eastAsia="Times New Roman" w:hAnsi="Arial" w:cs="Arial"/>
          <w:sz w:val="24"/>
          <w:szCs w:val="24"/>
        </w:rPr>
        <w:t xml:space="preserve">Sin las provisiones extraordinarias realizadas, el resultado </w:t>
      </w:r>
      <w:r w:rsidR="00EF2196">
        <w:rPr>
          <w:rFonts w:ascii="Arial" w:eastAsia="Times New Roman" w:hAnsi="Arial" w:cs="Arial"/>
          <w:sz w:val="24"/>
          <w:szCs w:val="24"/>
        </w:rPr>
        <w:t>se situaría</w:t>
      </w:r>
      <w:r w:rsidR="00756EB5">
        <w:rPr>
          <w:rFonts w:ascii="Arial" w:eastAsia="Times New Roman" w:hAnsi="Arial" w:cs="Arial"/>
          <w:sz w:val="24"/>
          <w:szCs w:val="24"/>
        </w:rPr>
        <w:t xml:space="preserve"> en 44 millones de euros de beneficio neto.</w:t>
      </w:r>
      <w:r w:rsidRPr="008F76D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Por su parte, la cobertura de las contingencias potenciales, relacionadas fundamentalmente con cláusulas suelo, asciende a 100 millones de euros.</w:t>
      </w:r>
      <w:r w:rsidR="00EF2196">
        <w:rPr>
          <w:rFonts w:ascii="Arial" w:eastAsia="Times New Roman" w:hAnsi="Arial" w:cs="Arial"/>
          <w:sz w:val="24"/>
          <w:szCs w:val="24"/>
        </w:rPr>
        <w:t xml:space="preserve"> </w:t>
      </w:r>
    </w:p>
    <w:p w:rsidR="00C2659E" w:rsidRPr="00C2659E" w:rsidRDefault="007148AF" w:rsidP="00C2659E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El ratio </w:t>
      </w:r>
      <w:r w:rsidR="00EF2196" w:rsidRPr="00C2659E">
        <w:rPr>
          <w:rFonts w:ascii="Arial" w:eastAsia="Times New Roman" w:hAnsi="Arial" w:cs="Arial"/>
          <w:sz w:val="24"/>
          <w:szCs w:val="24"/>
        </w:rPr>
        <w:t>de c</w:t>
      </w:r>
      <w:bookmarkStart w:id="0" w:name="_GoBack"/>
      <w:bookmarkEnd w:id="0"/>
      <w:r w:rsidR="00EF2196" w:rsidRPr="00C2659E">
        <w:rPr>
          <w:rFonts w:ascii="Arial" w:eastAsia="Times New Roman" w:hAnsi="Arial" w:cs="Arial"/>
          <w:sz w:val="24"/>
          <w:szCs w:val="24"/>
        </w:rPr>
        <w:t xml:space="preserve">apital total </w:t>
      </w:r>
      <w:r w:rsidR="00EF2196">
        <w:rPr>
          <w:rFonts w:ascii="Arial" w:eastAsia="Times New Roman" w:hAnsi="Arial" w:cs="Arial"/>
          <w:sz w:val="24"/>
          <w:szCs w:val="24"/>
        </w:rPr>
        <w:t>asciende al</w:t>
      </w:r>
      <w:r w:rsidR="00EF2196" w:rsidRPr="00C2659E">
        <w:rPr>
          <w:rFonts w:ascii="Arial" w:eastAsia="Times New Roman" w:hAnsi="Arial" w:cs="Arial"/>
          <w:sz w:val="24"/>
          <w:szCs w:val="24"/>
        </w:rPr>
        <w:t xml:space="preserve"> 12,</w:t>
      </w:r>
      <w:r w:rsidR="00EF2196">
        <w:rPr>
          <w:rFonts w:ascii="Arial" w:eastAsia="Times New Roman" w:hAnsi="Arial" w:cs="Arial"/>
          <w:sz w:val="24"/>
          <w:szCs w:val="24"/>
        </w:rPr>
        <w:t>3% (114 puntos básicos más), mientras que e</w:t>
      </w:r>
      <w:r w:rsidR="00EF2196" w:rsidRPr="00C2659E">
        <w:rPr>
          <w:rFonts w:ascii="Arial" w:eastAsia="Times New Roman" w:hAnsi="Arial" w:cs="Arial"/>
          <w:sz w:val="24"/>
          <w:szCs w:val="24"/>
        </w:rPr>
        <w:t xml:space="preserve">l CET1 </w:t>
      </w:r>
      <w:proofErr w:type="spellStart"/>
      <w:r w:rsidR="00EF2196">
        <w:rPr>
          <w:rFonts w:ascii="Arial" w:eastAsia="Times New Roman" w:hAnsi="Arial" w:cs="Arial"/>
          <w:i/>
          <w:sz w:val="24"/>
          <w:szCs w:val="24"/>
        </w:rPr>
        <w:t>P</w:t>
      </w:r>
      <w:r w:rsidR="00EF2196" w:rsidRPr="005F2B59">
        <w:rPr>
          <w:rFonts w:ascii="Arial" w:eastAsia="Times New Roman" w:hAnsi="Arial" w:cs="Arial"/>
          <w:i/>
          <w:sz w:val="24"/>
          <w:szCs w:val="24"/>
        </w:rPr>
        <w:t>hase</w:t>
      </w:r>
      <w:proofErr w:type="spellEnd"/>
      <w:r w:rsidR="00EF2196" w:rsidRPr="005F2B59">
        <w:rPr>
          <w:rFonts w:ascii="Arial" w:eastAsia="Times New Roman" w:hAnsi="Arial" w:cs="Arial"/>
          <w:i/>
          <w:sz w:val="24"/>
          <w:szCs w:val="24"/>
        </w:rPr>
        <w:t>-in</w:t>
      </w:r>
      <w:r w:rsidR="00EF2196" w:rsidRPr="00C2659E">
        <w:rPr>
          <w:rFonts w:ascii="Arial" w:eastAsia="Times New Roman" w:hAnsi="Arial" w:cs="Arial"/>
          <w:sz w:val="24"/>
          <w:szCs w:val="24"/>
        </w:rPr>
        <w:t xml:space="preserve"> alcanza el 11,</w:t>
      </w:r>
      <w:r w:rsidR="00EF2196">
        <w:rPr>
          <w:rFonts w:ascii="Arial" w:eastAsia="Times New Roman" w:hAnsi="Arial" w:cs="Arial"/>
          <w:sz w:val="24"/>
          <w:szCs w:val="24"/>
        </w:rPr>
        <w:t>2</w:t>
      </w:r>
      <w:r w:rsidR="00EF2196" w:rsidRPr="00C2659E">
        <w:rPr>
          <w:rFonts w:ascii="Arial" w:eastAsia="Times New Roman" w:hAnsi="Arial" w:cs="Arial"/>
          <w:sz w:val="24"/>
          <w:szCs w:val="24"/>
        </w:rPr>
        <w:t>%</w:t>
      </w:r>
      <w:r w:rsidR="00EF2196">
        <w:rPr>
          <w:rFonts w:ascii="Arial" w:eastAsia="Times New Roman" w:hAnsi="Arial" w:cs="Arial"/>
          <w:sz w:val="24"/>
          <w:szCs w:val="24"/>
        </w:rPr>
        <w:t xml:space="preserve">. Por su parte, </w:t>
      </w:r>
      <w:r w:rsidR="00EF2196" w:rsidRPr="00C2659E">
        <w:rPr>
          <w:rFonts w:ascii="Arial" w:eastAsia="Times New Roman" w:hAnsi="Arial" w:cs="Arial"/>
          <w:sz w:val="24"/>
          <w:szCs w:val="24"/>
        </w:rPr>
        <w:t xml:space="preserve">el </w:t>
      </w:r>
      <w:r w:rsidR="000B3A35" w:rsidRPr="00CF2CDD">
        <w:rPr>
          <w:rFonts w:ascii="Arial" w:eastAsia="Times New Roman" w:hAnsi="Arial" w:cs="Arial"/>
          <w:sz w:val="24"/>
          <w:szCs w:val="24"/>
        </w:rPr>
        <w:t xml:space="preserve">capital ordinario (CET1) </w:t>
      </w:r>
      <w:proofErr w:type="spellStart"/>
      <w:r w:rsidR="0031521E">
        <w:rPr>
          <w:rFonts w:ascii="Arial" w:eastAsia="Times New Roman" w:hAnsi="Arial" w:cs="Arial"/>
          <w:i/>
          <w:sz w:val="24"/>
          <w:szCs w:val="24"/>
        </w:rPr>
        <w:t>F</w:t>
      </w:r>
      <w:r w:rsidR="0031521E" w:rsidRPr="00CF2CDD">
        <w:rPr>
          <w:rFonts w:ascii="Arial" w:eastAsia="Times New Roman" w:hAnsi="Arial" w:cs="Arial"/>
          <w:i/>
          <w:sz w:val="24"/>
          <w:szCs w:val="24"/>
        </w:rPr>
        <w:t>ully</w:t>
      </w:r>
      <w:proofErr w:type="spellEnd"/>
      <w:r w:rsidR="0031521E" w:rsidRPr="00CF2CDD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="002324ED" w:rsidRPr="00CF2CDD">
        <w:rPr>
          <w:rFonts w:ascii="Arial" w:eastAsia="Times New Roman" w:hAnsi="Arial" w:cs="Arial"/>
          <w:i/>
          <w:sz w:val="24"/>
          <w:szCs w:val="24"/>
        </w:rPr>
        <w:t>Loaded</w:t>
      </w:r>
      <w:proofErr w:type="spellEnd"/>
      <w:r w:rsidR="000823E3" w:rsidRPr="00CF2CDD">
        <w:rPr>
          <w:rFonts w:ascii="Arial" w:eastAsia="Times New Roman" w:hAnsi="Arial" w:cs="Arial"/>
          <w:sz w:val="24"/>
          <w:szCs w:val="24"/>
        </w:rPr>
        <w:t>,</w:t>
      </w:r>
      <w:r w:rsidR="000B3A35" w:rsidRPr="00CF2CDD">
        <w:rPr>
          <w:rFonts w:ascii="Arial" w:eastAsia="Times New Roman" w:hAnsi="Arial" w:cs="Arial"/>
          <w:sz w:val="24"/>
          <w:szCs w:val="24"/>
        </w:rPr>
        <w:t xml:space="preserve"> incorporando </w:t>
      </w:r>
      <w:r w:rsidR="00CF2CDD" w:rsidRPr="00F54554">
        <w:rPr>
          <w:rFonts w:ascii="Arial" w:eastAsia="Times New Roman" w:hAnsi="Arial" w:cs="Arial"/>
          <w:sz w:val="24"/>
          <w:szCs w:val="24"/>
        </w:rPr>
        <w:t xml:space="preserve">los resultados </w:t>
      </w:r>
      <w:r w:rsidR="004C2F26" w:rsidRPr="00CF2CDD">
        <w:rPr>
          <w:rFonts w:ascii="Arial" w:eastAsia="Times New Roman" w:hAnsi="Arial" w:cs="Arial"/>
          <w:sz w:val="24"/>
          <w:szCs w:val="24"/>
        </w:rPr>
        <w:t>y</w:t>
      </w:r>
      <w:r w:rsidR="000823E3" w:rsidRPr="00CF2CDD">
        <w:rPr>
          <w:rFonts w:ascii="Arial" w:eastAsia="Times New Roman" w:hAnsi="Arial" w:cs="Arial"/>
          <w:sz w:val="24"/>
          <w:szCs w:val="24"/>
        </w:rPr>
        <w:t xml:space="preserve"> </w:t>
      </w:r>
      <w:r w:rsidR="00733D97" w:rsidRPr="00CF2CDD">
        <w:rPr>
          <w:rFonts w:ascii="Arial" w:eastAsia="Times New Roman" w:hAnsi="Arial" w:cs="Arial"/>
          <w:sz w:val="24"/>
          <w:szCs w:val="24"/>
        </w:rPr>
        <w:t>anticipando toda</w:t>
      </w:r>
      <w:r w:rsidR="000823E3" w:rsidRPr="00CF2CDD">
        <w:rPr>
          <w:rFonts w:ascii="Arial" w:eastAsia="Times New Roman" w:hAnsi="Arial" w:cs="Arial"/>
          <w:sz w:val="24"/>
          <w:szCs w:val="24"/>
        </w:rPr>
        <w:t>s</w:t>
      </w:r>
      <w:r w:rsidR="001963BC" w:rsidRPr="00CF2CDD">
        <w:rPr>
          <w:rFonts w:ascii="Arial" w:eastAsia="Times New Roman" w:hAnsi="Arial" w:cs="Arial"/>
          <w:sz w:val="24"/>
          <w:szCs w:val="24"/>
        </w:rPr>
        <w:t xml:space="preserve"> las</w:t>
      </w:r>
      <w:r w:rsidR="000823E3" w:rsidRPr="00CF2CDD">
        <w:rPr>
          <w:rFonts w:ascii="Arial" w:eastAsia="Times New Roman" w:hAnsi="Arial" w:cs="Arial"/>
          <w:sz w:val="24"/>
          <w:szCs w:val="24"/>
        </w:rPr>
        <w:t xml:space="preserve"> </w:t>
      </w:r>
      <w:r w:rsidR="00733D97" w:rsidRPr="00CF2CDD">
        <w:rPr>
          <w:rFonts w:ascii="Arial" w:eastAsia="Times New Roman" w:hAnsi="Arial" w:cs="Arial"/>
          <w:sz w:val="24"/>
          <w:szCs w:val="24"/>
        </w:rPr>
        <w:t xml:space="preserve">deducciones y </w:t>
      </w:r>
      <w:r w:rsidR="000823E3" w:rsidRPr="00CF2CDD">
        <w:rPr>
          <w:rFonts w:ascii="Arial" w:eastAsia="Times New Roman" w:hAnsi="Arial" w:cs="Arial"/>
          <w:sz w:val="24"/>
          <w:szCs w:val="24"/>
        </w:rPr>
        <w:t>ajustes previstos por la normativa</w:t>
      </w:r>
      <w:r w:rsidR="00733D97" w:rsidRPr="00CF2CDD">
        <w:rPr>
          <w:rFonts w:ascii="Arial" w:eastAsia="Times New Roman" w:hAnsi="Arial" w:cs="Arial"/>
          <w:sz w:val="24"/>
          <w:szCs w:val="24"/>
        </w:rPr>
        <w:t xml:space="preserve"> en su calendario hasta 2018</w:t>
      </w:r>
      <w:r w:rsidR="000823E3" w:rsidRPr="00CF2CDD">
        <w:rPr>
          <w:rFonts w:ascii="Arial" w:eastAsia="Times New Roman" w:hAnsi="Arial" w:cs="Arial"/>
          <w:sz w:val="24"/>
          <w:szCs w:val="24"/>
        </w:rPr>
        <w:t xml:space="preserve">, </w:t>
      </w:r>
      <w:r w:rsidR="00F85CA3" w:rsidRPr="00CF2CDD">
        <w:rPr>
          <w:rFonts w:ascii="Arial" w:eastAsia="Times New Roman" w:hAnsi="Arial" w:cs="Arial"/>
          <w:sz w:val="24"/>
          <w:szCs w:val="24"/>
        </w:rPr>
        <w:t xml:space="preserve">se </w:t>
      </w:r>
      <w:r w:rsidR="00A225F5" w:rsidRPr="00CF2CDD">
        <w:rPr>
          <w:rFonts w:ascii="Arial" w:eastAsia="Times New Roman" w:hAnsi="Arial" w:cs="Arial"/>
          <w:sz w:val="24"/>
          <w:szCs w:val="24"/>
        </w:rPr>
        <w:t>sitúa</w:t>
      </w:r>
      <w:r w:rsidR="00733D97" w:rsidRPr="00CF2CDD">
        <w:rPr>
          <w:rFonts w:ascii="Arial" w:eastAsia="Times New Roman" w:hAnsi="Arial" w:cs="Arial"/>
          <w:sz w:val="24"/>
          <w:szCs w:val="24"/>
        </w:rPr>
        <w:t>,</w:t>
      </w:r>
      <w:r w:rsidR="00F85CA3" w:rsidRPr="00CF2CDD">
        <w:rPr>
          <w:rFonts w:ascii="Arial" w:eastAsia="Times New Roman" w:hAnsi="Arial" w:cs="Arial"/>
          <w:sz w:val="24"/>
          <w:szCs w:val="24"/>
        </w:rPr>
        <w:t xml:space="preserve"> en el 1</w:t>
      </w:r>
      <w:r w:rsidR="00A225F5">
        <w:rPr>
          <w:rFonts w:ascii="Arial" w:eastAsia="Times New Roman" w:hAnsi="Arial" w:cs="Arial"/>
          <w:sz w:val="24"/>
          <w:szCs w:val="24"/>
        </w:rPr>
        <w:t>0,8</w:t>
      </w:r>
      <w:r w:rsidR="0031521E">
        <w:rPr>
          <w:rFonts w:ascii="Arial" w:eastAsia="Times New Roman" w:hAnsi="Arial" w:cs="Arial"/>
          <w:sz w:val="24"/>
          <w:szCs w:val="24"/>
        </w:rPr>
        <w:t>%</w:t>
      </w:r>
      <w:r w:rsidR="00EF5C8A" w:rsidRPr="00CF2CDD">
        <w:rPr>
          <w:rFonts w:ascii="Arial" w:eastAsia="Times New Roman" w:hAnsi="Arial" w:cs="Arial"/>
          <w:sz w:val="24"/>
          <w:szCs w:val="24"/>
        </w:rPr>
        <w:t>.</w:t>
      </w:r>
      <w:r w:rsidR="00F85CA3" w:rsidRPr="00CF2CDD">
        <w:rPr>
          <w:rFonts w:ascii="Arial" w:eastAsia="Times New Roman" w:hAnsi="Arial" w:cs="Arial"/>
          <w:sz w:val="24"/>
          <w:szCs w:val="24"/>
        </w:rPr>
        <w:t xml:space="preserve"> </w:t>
      </w:r>
    </w:p>
    <w:p w:rsidR="006E6FD6" w:rsidRDefault="006E6FD6" w:rsidP="009D2E7A">
      <w:pPr>
        <w:pStyle w:val="NormalWeb"/>
      </w:pPr>
    </w:p>
    <w:p w:rsidR="00A225F5" w:rsidRDefault="00A225F5" w:rsidP="00C14838">
      <w:pPr>
        <w:jc w:val="center"/>
        <w:rPr>
          <w:rFonts w:cstheme="minorHAnsi"/>
          <w:b/>
          <w:color w:val="000000"/>
          <w:sz w:val="24"/>
          <w:szCs w:val="24"/>
        </w:rPr>
      </w:pPr>
    </w:p>
    <w:p w:rsidR="00376AA0" w:rsidRPr="003A3006" w:rsidRDefault="00376AA0" w:rsidP="00C14838">
      <w:pPr>
        <w:jc w:val="center"/>
        <w:rPr>
          <w:rFonts w:cstheme="minorHAnsi"/>
          <w:b/>
          <w:color w:val="000000"/>
          <w:sz w:val="24"/>
          <w:szCs w:val="24"/>
        </w:rPr>
      </w:pPr>
      <w:r w:rsidRPr="003A3006">
        <w:rPr>
          <w:rFonts w:cstheme="minorHAnsi"/>
          <w:b/>
          <w:color w:val="000000"/>
          <w:sz w:val="24"/>
          <w:szCs w:val="24"/>
        </w:rPr>
        <w:t>Principales magnitudes Grupo BMN</w:t>
      </w:r>
    </w:p>
    <w:p w:rsidR="00A225F5" w:rsidRPr="00465F90" w:rsidRDefault="006E6FD6" w:rsidP="00A225F5">
      <w:pPr>
        <w:tabs>
          <w:tab w:val="center" w:pos="4252"/>
          <w:tab w:val="left" w:pos="5894"/>
        </w:tabs>
        <w:spacing w:after="0" w:line="360" w:lineRule="auto"/>
        <w:rPr>
          <w:rFonts w:eastAsia="Times New Roman" w:cstheme="minorHAnsi"/>
          <w:sz w:val="20"/>
          <w:szCs w:val="20"/>
        </w:rPr>
      </w:pPr>
      <w:r>
        <w:rPr>
          <w:rFonts w:cstheme="minorHAnsi"/>
          <w:b/>
          <w:color w:val="000000"/>
          <w:sz w:val="24"/>
          <w:szCs w:val="24"/>
        </w:rPr>
        <w:tab/>
      </w:r>
      <w:r w:rsidR="00376AA0" w:rsidRPr="003A3006">
        <w:rPr>
          <w:rFonts w:cstheme="minorHAnsi"/>
          <w:b/>
          <w:color w:val="000000"/>
          <w:sz w:val="24"/>
          <w:szCs w:val="24"/>
        </w:rPr>
        <w:t xml:space="preserve">Millones de euros </w:t>
      </w:r>
      <w:r>
        <w:rPr>
          <w:rFonts w:cstheme="minorHAnsi"/>
          <w:b/>
          <w:color w:val="000000"/>
          <w:sz w:val="24"/>
          <w:szCs w:val="24"/>
        </w:rPr>
        <w:tab/>
      </w: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  <w:gridCol w:w="1360"/>
        <w:gridCol w:w="1360"/>
      </w:tblGrid>
      <w:tr w:rsidR="00A225F5" w:rsidRPr="00A225F5" w:rsidTr="00A225F5">
        <w:trPr>
          <w:trHeight w:val="435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szCs w:val="24"/>
                <w:lang w:eastAsia="es-ES"/>
              </w:rPr>
              <w:t>Dic-16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szCs w:val="24"/>
                <w:lang w:eastAsia="es-ES"/>
              </w:rPr>
              <w:t>Dic-15</w:t>
            </w:r>
          </w:p>
        </w:tc>
      </w:tr>
      <w:tr w:rsidR="00A225F5" w:rsidRPr="00A225F5" w:rsidTr="00AF3225">
        <w:trPr>
          <w:trHeight w:val="369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Margen de intereses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372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464</w:t>
            </w:r>
          </w:p>
        </w:tc>
      </w:tr>
      <w:tr w:rsidR="00A225F5" w:rsidRPr="00A225F5" w:rsidTr="00AF3225">
        <w:trPr>
          <w:trHeight w:val="369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Comisiones netas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204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197</w:t>
            </w:r>
          </w:p>
        </w:tc>
      </w:tr>
      <w:tr w:rsidR="00A225F5" w:rsidRPr="00A225F5" w:rsidTr="00AF3225">
        <w:trPr>
          <w:trHeight w:val="369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Resultado de operaciones financieras y </w:t>
            </w:r>
            <w:proofErr w:type="spellStart"/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dif</w:t>
            </w:r>
            <w:proofErr w:type="spellEnd"/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. de cambio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183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342</w:t>
            </w:r>
          </w:p>
        </w:tc>
      </w:tr>
      <w:tr w:rsidR="00A225F5" w:rsidRPr="00A225F5" w:rsidTr="00AF3225">
        <w:trPr>
          <w:trHeight w:val="369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Margen bruto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731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1.004</w:t>
            </w:r>
          </w:p>
        </w:tc>
      </w:tr>
      <w:tr w:rsidR="00A225F5" w:rsidRPr="00A225F5" w:rsidTr="00AF3225">
        <w:trPr>
          <w:trHeight w:val="369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Gastos de explotación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-391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-417</w:t>
            </w:r>
          </w:p>
        </w:tc>
      </w:tr>
      <w:tr w:rsidR="00A225F5" w:rsidRPr="00A225F5" w:rsidTr="00AF3225">
        <w:trPr>
          <w:trHeight w:val="369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Resultado antes de provisiones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340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588</w:t>
            </w:r>
          </w:p>
        </w:tc>
      </w:tr>
      <w:tr w:rsidR="00A225F5" w:rsidRPr="00A225F5" w:rsidTr="00AF3225">
        <w:trPr>
          <w:trHeight w:val="369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Deterioros, dotaciones a provisiones y resultados por ventas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-422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-573</w:t>
            </w:r>
          </w:p>
        </w:tc>
      </w:tr>
      <w:tr w:rsidR="00A225F5" w:rsidRPr="00A225F5" w:rsidTr="00AF3225">
        <w:trPr>
          <w:trHeight w:val="369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Resultado neto atribuido al Grupo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-39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64</w:t>
            </w:r>
          </w:p>
        </w:tc>
      </w:tr>
      <w:tr w:rsidR="00A225F5" w:rsidRPr="00A225F5" w:rsidTr="00AF3225">
        <w:trPr>
          <w:trHeight w:val="369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ROTE (%)</w:t>
            </w:r>
            <w:r w:rsidRPr="00A225F5">
              <w:rPr>
                <w:rFonts w:ascii="Calibri" w:eastAsia="Times New Roman" w:hAnsi="Calibri" w:cs="Times New Roman"/>
                <w:color w:val="000000"/>
                <w:vertAlign w:val="superscript"/>
                <w:lang w:eastAsia="es-ES"/>
              </w:rPr>
              <w:t>(1)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-1,9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3,1</w:t>
            </w:r>
          </w:p>
        </w:tc>
      </w:tr>
      <w:tr w:rsidR="00A225F5" w:rsidRPr="00A225F5" w:rsidTr="00A225F5">
        <w:trPr>
          <w:trHeight w:val="315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A225F5" w:rsidRPr="00A225F5" w:rsidTr="00A225F5">
        <w:trPr>
          <w:trHeight w:val="315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225F5" w:rsidRPr="00A225F5" w:rsidRDefault="00A225F5" w:rsidP="00A22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A225F5" w:rsidRPr="00A225F5" w:rsidTr="00A225F5">
        <w:trPr>
          <w:trHeight w:val="435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szCs w:val="24"/>
                <w:lang w:eastAsia="es-ES"/>
              </w:rPr>
              <w:t>Dic-16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szCs w:val="24"/>
                <w:lang w:eastAsia="es-ES"/>
              </w:rPr>
              <w:t>Dic-15</w:t>
            </w:r>
          </w:p>
        </w:tc>
      </w:tr>
      <w:tr w:rsidR="00A225F5" w:rsidRPr="00A225F5" w:rsidTr="00AF3225">
        <w:trPr>
          <w:trHeight w:val="369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Activos totales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38.650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40.794</w:t>
            </w:r>
          </w:p>
        </w:tc>
      </w:tr>
      <w:tr w:rsidR="00A225F5" w:rsidRPr="00A225F5" w:rsidTr="00AF3225">
        <w:trPr>
          <w:trHeight w:val="369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Préstamos y anticipos (Clientela bruto)</w:t>
            </w:r>
            <w:r w:rsidRPr="00A225F5">
              <w:rPr>
                <w:rFonts w:ascii="Calibri" w:eastAsia="Times New Roman" w:hAnsi="Calibri" w:cs="Times New Roman"/>
                <w:color w:val="000000"/>
                <w:vertAlign w:val="superscript"/>
                <w:lang w:eastAsia="es-ES"/>
              </w:rPr>
              <w:t>(2)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22.595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23.421</w:t>
            </w:r>
          </w:p>
        </w:tc>
      </w:tr>
      <w:tr w:rsidR="00A225F5" w:rsidRPr="00A225F5" w:rsidTr="00AF3225">
        <w:trPr>
          <w:trHeight w:val="369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Del que: rentable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20.156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20.655</w:t>
            </w:r>
          </w:p>
        </w:tc>
      </w:tr>
      <w:tr w:rsidR="00A225F5" w:rsidRPr="00A225F5" w:rsidTr="00AF3225">
        <w:trPr>
          <w:trHeight w:val="369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Del que: dudoso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2.439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2.766</w:t>
            </w:r>
          </w:p>
        </w:tc>
      </w:tr>
      <w:tr w:rsidR="00A225F5" w:rsidRPr="00A225F5" w:rsidTr="00AF3225">
        <w:trPr>
          <w:trHeight w:val="369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Depósitos de la clientela minoristas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23.277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22.734</w:t>
            </w:r>
          </w:p>
        </w:tc>
      </w:tr>
      <w:tr w:rsidR="00A225F5" w:rsidRPr="00A225F5" w:rsidTr="00AF3225">
        <w:trPr>
          <w:trHeight w:val="369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Créditos sobre depósitos minoristas (%)</w:t>
            </w:r>
            <w:r w:rsidRPr="00A225F5">
              <w:rPr>
                <w:rFonts w:ascii="Calibri" w:eastAsia="Times New Roman" w:hAnsi="Calibri" w:cs="Times New Roman"/>
                <w:color w:val="000000"/>
                <w:vertAlign w:val="superscript"/>
                <w:lang w:eastAsia="es-ES"/>
              </w:rPr>
              <w:t>(3)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91,6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95,9</w:t>
            </w:r>
          </w:p>
        </w:tc>
      </w:tr>
      <w:tr w:rsidR="00A225F5" w:rsidRPr="00A225F5" w:rsidTr="00AF3225">
        <w:trPr>
          <w:trHeight w:val="369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Tasa de mora (%)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10,8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11,8</w:t>
            </w:r>
          </w:p>
        </w:tc>
      </w:tr>
      <w:tr w:rsidR="00A225F5" w:rsidRPr="00A225F5" w:rsidTr="00AF3225">
        <w:trPr>
          <w:trHeight w:val="369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Tasa de cobertura (%)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40,5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41,5</w:t>
            </w:r>
          </w:p>
        </w:tc>
      </w:tr>
      <w:tr w:rsidR="00A225F5" w:rsidRPr="00A225F5" w:rsidTr="00AF3225">
        <w:trPr>
          <w:trHeight w:val="369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31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CET1 </w:t>
            </w:r>
            <w:proofErr w:type="spellStart"/>
            <w:r w:rsidRPr="002324ED">
              <w:rPr>
                <w:rFonts w:ascii="Calibri" w:eastAsia="Times New Roman" w:hAnsi="Calibri" w:cs="Times New Roman"/>
                <w:i/>
                <w:color w:val="000000"/>
                <w:lang w:eastAsia="es-ES"/>
              </w:rPr>
              <w:t>Phase</w:t>
            </w:r>
            <w:proofErr w:type="spellEnd"/>
            <w:r w:rsidRPr="002324ED">
              <w:rPr>
                <w:rFonts w:ascii="Calibri" w:eastAsia="Times New Roman" w:hAnsi="Calibri" w:cs="Times New Roman"/>
                <w:i/>
                <w:color w:val="000000"/>
                <w:lang w:eastAsia="es-ES"/>
              </w:rPr>
              <w:t xml:space="preserve"> in</w:t>
            </w: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(%)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11,2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11,1</w:t>
            </w:r>
          </w:p>
        </w:tc>
      </w:tr>
      <w:tr w:rsidR="00A225F5" w:rsidRPr="00A225F5" w:rsidTr="00AF3225">
        <w:trPr>
          <w:trHeight w:val="369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A225F5" w:rsidP="005B1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CET1 </w:t>
            </w:r>
            <w:proofErr w:type="spellStart"/>
            <w:r w:rsidRPr="00A225F5">
              <w:rPr>
                <w:rFonts w:ascii="Calibri" w:eastAsia="Times New Roman" w:hAnsi="Calibri" w:cs="Times New Roman"/>
                <w:i/>
                <w:iCs/>
                <w:color w:val="000000"/>
                <w:lang w:eastAsia="es-ES"/>
              </w:rPr>
              <w:t>Fully</w:t>
            </w:r>
            <w:proofErr w:type="spellEnd"/>
            <w:r w:rsidRPr="00A225F5">
              <w:rPr>
                <w:rFonts w:ascii="Calibri" w:eastAsia="Times New Roman" w:hAnsi="Calibri" w:cs="Times New Roman"/>
                <w:i/>
                <w:iCs/>
                <w:color w:val="000000"/>
                <w:lang w:eastAsia="es-ES"/>
              </w:rPr>
              <w:t xml:space="preserve"> </w:t>
            </w:r>
            <w:proofErr w:type="spellStart"/>
            <w:r w:rsidRPr="00A225F5">
              <w:rPr>
                <w:rFonts w:ascii="Calibri" w:eastAsia="Times New Roman" w:hAnsi="Calibri" w:cs="Times New Roman"/>
                <w:i/>
                <w:iCs/>
                <w:color w:val="000000"/>
                <w:lang w:eastAsia="es-ES"/>
              </w:rPr>
              <w:t>Loaded</w:t>
            </w:r>
            <w:proofErr w:type="spellEnd"/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(%)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10,8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10,9</w:t>
            </w:r>
          </w:p>
        </w:tc>
      </w:tr>
      <w:tr w:rsidR="00A225F5" w:rsidRPr="00A225F5" w:rsidTr="00AF3225">
        <w:trPr>
          <w:trHeight w:val="369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9E3A60" w:rsidP="0031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Capital total</w:t>
            </w:r>
            <w:r w:rsidR="00A225F5"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 w:rsidR="00A225F5" w:rsidRPr="002324ED">
              <w:rPr>
                <w:rFonts w:ascii="Calibri" w:eastAsia="Times New Roman" w:hAnsi="Calibri" w:cs="Times New Roman"/>
                <w:i/>
                <w:color w:val="000000"/>
                <w:lang w:eastAsia="es-ES"/>
              </w:rPr>
              <w:t>Phase</w:t>
            </w:r>
            <w:proofErr w:type="spellEnd"/>
            <w:r w:rsidR="00A225F5" w:rsidRPr="002324ED">
              <w:rPr>
                <w:rFonts w:ascii="Calibri" w:eastAsia="Times New Roman" w:hAnsi="Calibri" w:cs="Times New Roman"/>
                <w:i/>
                <w:color w:val="000000"/>
                <w:lang w:eastAsia="es-ES"/>
              </w:rPr>
              <w:t xml:space="preserve"> in</w:t>
            </w:r>
            <w:r w:rsidR="00A225F5"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(%)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12,3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11,1</w:t>
            </w:r>
          </w:p>
        </w:tc>
      </w:tr>
      <w:tr w:rsidR="00A225F5" w:rsidRPr="00A225F5" w:rsidTr="00AF3225">
        <w:trPr>
          <w:trHeight w:val="369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F5" w:rsidRPr="00A225F5" w:rsidRDefault="009E3A60" w:rsidP="005B1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Capital Total</w:t>
            </w:r>
            <w:r w:rsidR="00A225F5"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 w:rsidR="00A225F5" w:rsidRPr="00A225F5">
              <w:rPr>
                <w:rFonts w:ascii="Calibri" w:eastAsia="Times New Roman" w:hAnsi="Calibri" w:cs="Times New Roman"/>
                <w:i/>
                <w:iCs/>
                <w:color w:val="000000"/>
                <w:lang w:eastAsia="es-ES"/>
              </w:rPr>
              <w:t>Fully</w:t>
            </w:r>
            <w:proofErr w:type="spellEnd"/>
            <w:r w:rsidR="00A225F5" w:rsidRPr="00A225F5">
              <w:rPr>
                <w:rFonts w:ascii="Calibri" w:eastAsia="Times New Roman" w:hAnsi="Calibri" w:cs="Times New Roman"/>
                <w:i/>
                <w:iCs/>
                <w:color w:val="000000"/>
                <w:lang w:eastAsia="es-ES"/>
              </w:rPr>
              <w:t xml:space="preserve"> </w:t>
            </w:r>
            <w:proofErr w:type="spellStart"/>
            <w:r w:rsidR="00A225F5" w:rsidRPr="00A225F5">
              <w:rPr>
                <w:rFonts w:ascii="Calibri" w:eastAsia="Times New Roman" w:hAnsi="Calibri" w:cs="Times New Roman"/>
                <w:i/>
                <w:iCs/>
                <w:color w:val="000000"/>
                <w:lang w:eastAsia="es-ES"/>
              </w:rPr>
              <w:t>Loaded</w:t>
            </w:r>
            <w:proofErr w:type="spellEnd"/>
            <w:r w:rsidR="00A225F5"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(%)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11,9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color w:val="000000"/>
                <w:lang w:eastAsia="es-ES"/>
              </w:rPr>
              <w:t>10,9</w:t>
            </w:r>
          </w:p>
        </w:tc>
      </w:tr>
      <w:tr w:rsidR="00A225F5" w:rsidRPr="00A225F5" w:rsidTr="00A225F5">
        <w:trPr>
          <w:trHeight w:val="300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5F5" w:rsidRPr="00A225F5" w:rsidRDefault="00A225F5" w:rsidP="00A22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5F5" w:rsidRPr="00A225F5" w:rsidRDefault="00A225F5" w:rsidP="00A22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5F5" w:rsidRPr="00A225F5" w:rsidRDefault="00A225F5" w:rsidP="00A22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A225F5" w:rsidRPr="00A225F5" w:rsidTr="00A225F5">
        <w:trPr>
          <w:trHeight w:val="300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s-ES"/>
              </w:rPr>
              <w:t>(1)</w:t>
            </w:r>
            <w:r w:rsidRPr="00A225F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es-ES"/>
              </w:rPr>
              <w:t xml:space="preserve">  </w:t>
            </w:r>
            <w:r w:rsidRPr="00A225F5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s-ES"/>
              </w:rPr>
              <w:t>Rentabilidad sobre fondos propios medios tangibles (excluyendo Activo intangible)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5F5" w:rsidRPr="00A225F5" w:rsidRDefault="00A225F5" w:rsidP="00A22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A225F5" w:rsidRPr="00A225F5" w:rsidTr="00A225F5">
        <w:trPr>
          <w:trHeight w:val="300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s-ES"/>
              </w:rPr>
              <w:t>(2)</w:t>
            </w:r>
            <w:r w:rsidRPr="00A225F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es-ES"/>
              </w:rPr>
              <w:t xml:space="preserve">  </w:t>
            </w:r>
            <w:r w:rsidRPr="00A225F5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s-ES"/>
              </w:rPr>
              <w:t>Bruto de correcciones de valor por deterioro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5F5" w:rsidRPr="00A225F5" w:rsidRDefault="00A225F5" w:rsidP="00A22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A225F5" w:rsidRPr="00A225F5" w:rsidTr="00A225F5">
        <w:trPr>
          <w:trHeight w:val="300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5F5" w:rsidRPr="00A225F5" w:rsidRDefault="00A225F5" w:rsidP="00A225F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225F5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s-ES"/>
              </w:rPr>
              <w:t>(3)</w:t>
            </w:r>
            <w:r w:rsidRPr="00A225F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es-ES"/>
              </w:rPr>
              <w:t xml:space="preserve">  </w:t>
            </w:r>
            <w:r w:rsidRPr="00A225F5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s-ES"/>
              </w:rPr>
              <w:t>Excluidos del cálculo los créditos de mediación con fondos ICO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5F5" w:rsidRPr="00A225F5" w:rsidRDefault="00A225F5" w:rsidP="00A22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5F5" w:rsidRPr="00A225F5" w:rsidRDefault="00A225F5" w:rsidP="00A22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:rsidR="00BE760E" w:rsidRPr="00465F90" w:rsidRDefault="00BE760E" w:rsidP="00A225F5">
      <w:pPr>
        <w:tabs>
          <w:tab w:val="center" w:pos="4252"/>
          <w:tab w:val="left" w:pos="5894"/>
        </w:tabs>
        <w:spacing w:after="0" w:line="360" w:lineRule="auto"/>
        <w:rPr>
          <w:rFonts w:eastAsia="Times New Roman" w:cstheme="minorHAnsi"/>
          <w:sz w:val="20"/>
          <w:szCs w:val="20"/>
        </w:rPr>
      </w:pPr>
    </w:p>
    <w:sectPr w:rsidR="00BE760E" w:rsidRPr="00465F90" w:rsidSect="00465F90">
      <w:headerReference w:type="default" r:id="rId9"/>
      <w:footerReference w:type="default" r:id="rId10"/>
      <w:pgSz w:w="11906" w:h="16838"/>
      <w:pgMar w:top="2269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99" w:rsidRDefault="004A7699" w:rsidP="00A81BA1">
      <w:pPr>
        <w:spacing w:after="0" w:line="240" w:lineRule="auto"/>
      </w:pPr>
      <w:r>
        <w:separator/>
      </w:r>
    </w:p>
  </w:endnote>
  <w:endnote w:type="continuationSeparator" w:id="0">
    <w:p w:rsidR="004A7699" w:rsidRDefault="004A7699" w:rsidP="00A81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9439866"/>
      <w:docPartObj>
        <w:docPartGallery w:val="Page Numbers (Bottom of Page)"/>
        <w:docPartUnique/>
      </w:docPartObj>
    </w:sdtPr>
    <w:sdtEndPr/>
    <w:sdtContent>
      <w:p w:rsidR="00CF2CDD" w:rsidRDefault="00CF2CD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8AF">
          <w:rPr>
            <w:noProof/>
          </w:rPr>
          <w:t>1</w:t>
        </w:r>
        <w:r>
          <w:fldChar w:fldCharType="end"/>
        </w:r>
      </w:p>
    </w:sdtContent>
  </w:sdt>
  <w:p w:rsidR="00CF2CDD" w:rsidRPr="00C21808" w:rsidRDefault="00CF2CDD">
    <w:pPr>
      <w:pStyle w:val="Piedepgina"/>
      <w:rPr>
        <w:rFonts w:ascii="Arial" w:hAnsi="Arial" w:cs="Arial"/>
        <w:color w:val="404040" w:themeColor="text1" w:themeTint="BF"/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99" w:rsidRDefault="004A7699" w:rsidP="00A81BA1">
      <w:pPr>
        <w:spacing w:after="0" w:line="240" w:lineRule="auto"/>
      </w:pPr>
      <w:r>
        <w:separator/>
      </w:r>
    </w:p>
  </w:footnote>
  <w:footnote w:type="continuationSeparator" w:id="0">
    <w:p w:rsidR="004A7699" w:rsidRDefault="004A7699" w:rsidP="00A81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CDD" w:rsidRDefault="00CF2CDD">
    <w:pPr>
      <w:pStyle w:val="Encabezado"/>
      <w:rPr>
        <w:rFonts w:ascii="Arial" w:hAnsi="Arial" w:cs="Arial"/>
        <w:b/>
        <w:color w:val="595959" w:themeColor="text1" w:themeTint="A6"/>
        <w:sz w:val="28"/>
        <w:szCs w:val="28"/>
      </w:rPr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3E82F34A" wp14:editId="40BC431C">
          <wp:simplePos x="0" y="0"/>
          <wp:positionH relativeFrom="column">
            <wp:posOffset>3884295</wp:posOffset>
          </wp:positionH>
          <wp:positionV relativeFrom="paragraph">
            <wp:posOffset>-116840</wp:posOffset>
          </wp:positionV>
          <wp:extent cx="1502410" cy="1007110"/>
          <wp:effectExtent l="0" t="0" r="2540" b="2540"/>
          <wp:wrapTight wrapText="bothSides">
            <wp:wrapPolygon edited="0">
              <wp:start x="0" y="0"/>
              <wp:lineTo x="0" y="21246"/>
              <wp:lineTo x="21363" y="21246"/>
              <wp:lineTo x="21363" y="0"/>
              <wp:lineTo x="0" y="0"/>
            </wp:wrapPolygon>
          </wp:wrapTight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uevabanca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410" cy="1007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F2CDD" w:rsidRPr="00C21808" w:rsidRDefault="00CF2CDD" w:rsidP="002A3985">
    <w:pPr>
      <w:pStyle w:val="Encabezado"/>
      <w:rPr>
        <w:b/>
        <w:smallCaps/>
        <w:color w:val="404040" w:themeColor="text1" w:themeTint="BF"/>
        <w:sz w:val="44"/>
        <w:szCs w:val="28"/>
      </w:rPr>
    </w:pPr>
    <w:r>
      <w:rPr>
        <w:rFonts w:ascii="Arial" w:hAnsi="Arial" w:cs="Arial"/>
        <w:b/>
        <w:smallCaps/>
        <w:color w:val="404040" w:themeColor="text1" w:themeTint="BF"/>
        <w:sz w:val="44"/>
        <w:szCs w:val="28"/>
      </w:rPr>
      <w:t>Nota de Prensa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1.25pt;height:38.25pt" o:bullet="t">
        <v:imagedata r:id="rId1" o:title="ONDA"/>
      </v:shape>
    </w:pict>
  </w:numPicBullet>
  <w:abstractNum w:abstractNumId="0">
    <w:nsid w:val="286F51C3"/>
    <w:multiLevelType w:val="hybridMultilevel"/>
    <w:tmpl w:val="92600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D1CAF"/>
    <w:multiLevelType w:val="hybridMultilevel"/>
    <w:tmpl w:val="3D0670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10E0C"/>
    <w:multiLevelType w:val="hybridMultilevel"/>
    <w:tmpl w:val="7F24E5CA"/>
    <w:lvl w:ilvl="0" w:tplc="0CC666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6C0179"/>
    <w:multiLevelType w:val="hybridMultilevel"/>
    <w:tmpl w:val="9D542254"/>
    <w:lvl w:ilvl="0" w:tplc="BB763334">
      <w:start w:val="1"/>
      <w:numFmt w:val="decimal"/>
      <w:lvlText w:val="(%1)"/>
      <w:lvlJc w:val="left"/>
      <w:pPr>
        <w:ind w:left="644" w:hanging="360"/>
      </w:pPr>
      <w:rPr>
        <w:rFonts w:ascii="Arial" w:hAnsi="Arial" w:cs="Arial" w:hint="default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BA1"/>
    <w:rsid w:val="000076ED"/>
    <w:rsid w:val="00007A03"/>
    <w:rsid w:val="00007ABD"/>
    <w:rsid w:val="00010DD8"/>
    <w:rsid w:val="00012AA0"/>
    <w:rsid w:val="00016DCD"/>
    <w:rsid w:val="0002016A"/>
    <w:rsid w:val="00022F3E"/>
    <w:rsid w:val="00024AF7"/>
    <w:rsid w:val="00027C72"/>
    <w:rsid w:val="00030F9F"/>
    <w:rsid w:val="00031376"/>
    <w:rsid w:val="00031E36"/>
    <w:rsid w:val="0003293C"/>
    <w:rsid w:val="00033486"/>
    <w:rsid w:val="00033DC1"/>
    <w:rsid w:val="000364BA"/>
    <w:rsid w:val="00037726"/>
    <w:rsid w:val="000400D1"/>
    <w:rsid w:val="00042C4A"/>
    <w:rsid w:val="00042F87"/>
    <w:rsid w:val="000465DD"/>
    <w:rsid w:val="000508B1"/>
    <w:rsid w:val="00051159"/>
    <w:rsid w:val="00051CB3"/>
    <w:rsid w:val="00061239"/>
    <w:rsid w:val="00067602"/>
    <w:rsid w:val="00067C64"/>
    <w:rsid w:val="00070C66"/>
    <w:rsid w:val="000715A6"/>
    <w:rsid w:val="00077024"/>
    <w:rsid w:val="000823E3"/>
    <w:rsid w:val="0008521C"/>
    <w:rsid w:val="00086214"/>
    <w:rsid w:val="00086BF8"/>
    <w:rsid w:val="0009306D"/>
    <w:rsid w:val="0009392B"/>
    <w:rsid w:val="00095114"/>
    <w:rsid w:val="000A116B"/>
    <w:rsid w:val="000A6415"/>
    <w:rsid w:val="000A6976"/>
    <w:rsid w:val="000B3A35"/>
    <w:rsid w:val="000B52FF"/>
    <w:rsid w:val="000C0082"/>
    <w:rsid w:val="000C15A9"/>
    <w:rsid w:val="000C21AB"/>
    <w:rsid w:val="000C4FEC"/>
    <w:rsid w:val="000C6347"/>
    <w:rsid w:val="000D1339"/>
    <w:rsid w:val="000D6973"/>
    <w:rsid w:val="000E5501"/>
    <w:rsid w:val="000E7DB6"/>
    <w:rsid w:val="000F1818"/>
    <w:rsid w:val="000F3688"/>
    <w:rsid w:val="000F39F4"/>
    <w:rsid w:val="00100550"/>
    <w:rsid w:val="001011AF"/>
    <w:rsid w:val="00101ACC"/>
    <w:rsid w:val="00106A7A"/>
    <w:rsid w:val="00106E2B"/>
    <w:rsid w:val="00112CCB"/>
    <w:rsid w:val="00114278"/>
    <w:rsid w:val="00120BB8"/>
    <w:rsid w:val="00123116"/>
    <w:rsid w:val="0012463B"/>
    <w:rsid w:val="00126804"/>
    <w:rsid w:val="00127EEE"/>
    <w:rsid w:val="001313FE"/>
    <w:rsid w:val="00131EB4"/>
    <w:rsid w:val="00133BC6"/>
    <w:rsid w:val="001351F4"/>
    <w:rsid w:val="001359F8"/>
    <w:rsid w:val="00157817"/>
    <w:rsid w:val="0016265F"/>
    <w:rsid w:val="001632B6"/>
    <w:rsid w:val="00165EF9"/>
    <w:rsid w:val="00177E5B"/>
    <w:rsid w:val="00182411"/>
    <w:rsid w:val="00184224"/>
    <w:rsid w:val="00187C69"/>
    <w:rsid w:val="001918F7"/>
    <w:rsid w:val="001924CA"/>
    <w:rsid w:val="001963BC"/>
    <w:rsid w:val="00196DEC"/>
    <w:rsid w:val="001A32BB"/>
    <w:rsid w:val="001A5550"/>
    <w:rsid w:val="001A5C4E"/>
    <w:rsid w:val="001B5084"/>
    <w:rsid w:val="001C2799"/>
    <w:rsid w:val="001C284F"/>
    <w:rsid w:val="001C7645"/>
    <w:rsid w:val="001D0A0C"/>
    <w:rsid w:val="001D7CB9"/>
    <w:rsid w:val="001E1136"/>
    <w:rsid w:val="001E2542"/>
    <w:rsid w:val="001E4531"/>
    <w:rsid w:val="001E569C"/>
    <w:rsid w:val="001F56B6"/>
    <w:rsid w:val="001F6639"/>
    <w:rsid w:val="001F7DA5"/>
    <w:rsid w:val="002001CE"/>
    <w:rsid w:val="0020032A"/>
    <w:rsid w:val="00200509"/>
    <w:rsid w:val="00205C7A"/>
    <w:rsid w:val="00205F77"/>
    <w:rsid w:val="00206257"/>
    <w:rsid w:val="0021162B"/>
    <w:rsid w:val="00212687"/>
    <w:rsid w:val="00213CFB"/>
    <w:rsid w:val="00214CB1"/>
    <w:rsid w:val="0022073E"/>
    <w:rsid w:val="0022216A"/>
    <w:rsid w:val="0022235A"/>
    <w:rsid w:val="00222579"/>
    <w:rsid w:val="00222E68"/>
    <w:rsid w:val="0022594D"/>
    <w:rsid w:val="00225F37"/>
    <w:rsid w:val="00227341"/>
    <w:rsid w:val="002273B8"/>
    <w:rsid w:val="002324ED"/>
    <w:rsid w:val="00241851"/>
    <w:rsid w:val="002438D4"/>
    <w:rsid w:val="00243C8F"/>
    <w:rsid w:val="002447ED"/>
    <w:rsid w:val="00244C7C"/>
    <w:rsid w:val="0024571D"/>
    <w:rsid w:val="00245AF4"/>
    <w:rsid w:val="00247680"/>
    <w:rsid w:val="00247721"/>
    <w:rsid w:val="002478EC"/>
    <w:rsid w:val="0025135E"/>
    <w:rsid w:val="002530A5"/>
    <w:rsid w:val="002544D9"/>
    <w:rsid w:val="00257479"/>
    <w:rsid w:val="00261BCB"/>
    <w:rsid w:val="00265A4E"/>
    <w:rsid w:val="00274682"/>
    <w:rsid w:val="002746E8"/>
    <w:rsid w:val="002767BA"/>
    <w:rsid w:val="00284557"/>
    <w:rsid w:val="0028620A"/>
    <w:rsid w:val="0029085A"/>
    <w:rsid w:val="0029280C"/>
    <w:rsid w:val="00296A81"/>
    <w:rsid w:val="002A0D75"/>
    <w:rsid w:val="002A24C9"/>
    <w:rsid w:val="002A3985"/>
    <w:rsid w:val="002A5650"/>
    <w:rsid w:val="002B0ED1"/>
    <w:rsid w:val="002C20B8"/>
    <w:rsid w:val="002D7EFE"/>
    <w:rsid w:val="002E5B45"/>
    <w:rsid w:val="002E6CCE"/>
    <w:rsid w:val="00303185"/>
    <w:rsid w:val="00304747"/>
    <w:rsid w:val="00305E7C"/>
    <w:rsid w:val="00310509"/>
    <w:rsid w:val="00310E27"/>
    <w:rsid w:val="003129B6"/>
    <w:rsid w:val="00313E5B"/>
    <w:rsid w:val="0031521E"/>
    <w:rsid w:val="00321562"/>
    <w:rsid w:val="003219BE"/>
    <w:rsid w:val="0032200C"/>
    <w:rsid w:val="00323E14"/>
    <w:rsid w:val="00324B88"/>
    <w:rsid w:val="00332764"/>
    <w:rsid w:val="00333450"/>
    <w:rsid w:val="00335BE6"/>
    <w:rsid w:val="003401BE"/>
    <w:rsid w:val="0034408E"/>
    <w:rsid w:val="003476BA"/>
    <w:rsid w:val="00352D3B"/>
    <w:rsid w:val="00354E92"/>
    <w:rsid w:val="00356637"/>
    <w:rsid w:val="00356A85"/>
    <w:rsid w:val="00363DD2"/>
    <w:rsid w:val="0036402F"/>
    <w:rsid w:val="00366308"/>
    <w:rsid w:val="00366453"/>
    <w:rsid w:val="00370BB8"/>
    <w:rsid w:val="00372E97"/>
    <w:rsid w:val="00376AA0"/>
    <w:rsid w:val="00377731"/>
    <w:rsid w:val="00381FF1"/>
    <w:rsid w:val="003821F7"/>
    <w:rsid w:val="003851F4"/>
    <w:rsid w:val="003853B9"/>
    <w:rsid w:val="0039052C"/>
    <w:rsid w:val="00391A1E"/>
    <w:rsid w:val="00392006"/>
    <w:rsid w:val="003939FF"/>
    <w:rsid w:val="00395209"/>
    <w:rsid w:val="003A03C8"/>
    <w:rsid w:val="003A1FA2"/>
    <w:rsid w:val="003A50F3"/>
    <w:rsid w:val="003A75E8"/>
    <w:rsid w:val="003A7CBB"/>
    <w:rsid w:val="003B01B6"/>
    <w:rsid w:val="003B0F81"/>
    <w:rsid w:val="003B1069"/>
    <w:rsid w:val="003B3235"/>
    <w:rsid w:val="003B5E69"/>
    <w:rsid w:val="003C0176"/>
    <w:rsid w:val="003C1D7A"/>
    <w:rsid w:val="003D0509"/>
    <w:rsid w:val="003D2CDE"/>
    <w:rsid w:val="003D5310"/>
    <w:rsid w:val="003D6015"/>
    <w:rsid w:val="003E1BB8"/>
    <w:rsid w:val="003E3DC8"/>
    <w:rsid w:val="003E662A"/>
    <w:rsid w:val="003E67BC"/>
    <w:rsid w:val="003F4740"/>
    <w:rsid w:val="003F4879"/>
    <w:rsid w:val="00406515"/>
    <w:rsid w:val="00411D32"/>
    <w:rsid w:val="0041240E"/>
    <w:rsid w:val="0042227D"/>
    <w:rsid w:val="0042258E"/>
    <w:rsid w:val="00422A1B"/>
    <w:rsid w:val="00422CF6"/>
    <w:rsid w:val="004248E2"/>
    <w:rsid w:val="0042757E"/>
    <w:rsid w:val="004278B9"/>
    <w:rsid w:val="004312CC"/>
    <w:rsid w:val="004410A5"/>
    <w:rsid w:val="0044351E"/>
    <w:rsid w:val="00444224"/>
    <w:rsid w:val="00444E98"/>
    <w:rsid w:val="004472EC"/>
    <w:rsid w:val="00447ACB"/>
    <w:rsid w:val="004516CE"/>
    <w:rsid w:val="00451B7C"/>
    <w:rsid w:val="00453458"/>
    <w:rsid w:val="00461D9C"/>
    <w:rsid w:val="00465F90"/>
    <w:rsid w:val="004746E5"/>
    <w:rsid w:val="00477DE1"/>
    <w:rsid w:val="00481638"/>
    <w:rsid w:val="00483DC7"/>
    <w:rsid w:val="00491495"/>
    <w:rsid w:val="004944E2"/>
    <w:rsid w:val="00497CBC"/>
    <w:rsid w:val="004A1EBF"/>
    <w:rsid w:val="004A3A6B"/>
    <w:rsid w:val="004A7699"/>
    <w:rsid w:val="004B06F5"/>
    <w:rsid w:val="004C163F"/>
    <w:rsid w:val="004C2F26"/>
    <w:rsid w:val="004C4E90"/>
    <w:rsid w:val="004D4950"/>
    <w:rsid w:val="004D7ACF"/>
    <w:rsid w:val="004E0E38"/>
    <w:rsid w:val="004E2E90"/>
    <w:rsid w:val="004E62CE"/>
    <w:rsid w:val="004E65C1"/>
    <w:rsid w:val="004E6D06"/>
    <w:rsid w:val="004E793D"/>
    <w:rsid w:val="004F0AB0"/>
    <w:rsid w:val="004F19CD"/>
    <w:rsid w:val="004F3ED0"/>
    <w:rsid w:val="00501109"/>
    <w:rsid w:val="005013ED"/>
    <w:rsid w:val="00501B20"/>
    <w:rsid w:val="00501EA1"/>
    <w:rsid w:val="00502AA3"/>
    <w:rsid w:val="00503B9D"/>
    <w:rsid w:val="00504624"/>
    <w:rsid w:val="00506467"/>
    <w:rsid w:val="0051140D"/>
    <w:rsid w:val="00512E60"/>
    <w:rsid w:val="00516397"/>
    <w:rsid w:val="0052541E"/>
    <w:rsid w:val="00532701"/>
    <w:rsid w:val="00536274"/>
    <w:rsid w:val="0053707C"/>
    <w:rsid w:val="00554C7A"/>
    <w:rsid w:val="005551F3"/>
    <w:rsid w:val="0055589D"/>
    <w:rsid w:val="00561344"/>
    <w:rsid w:val="00561407"/>
    <w:rsid w:val="00563FE1"/>
    <w:rsid w:val="00564BFD"/>
    <w:rsid w:val="00566701"/>
    <w:rsid w:val="005670D2"/>
    <w:rsid w:val="00572ED8"/>
    <w:rsid w:val="00573933"/>
    <w:rsid w:val="005772F1"/>
    <w:rsid w:val="00585CE2"/>
    <w:rsid w:val="005863A3"/>
    <w:rsid w:val="00590561"/>
    <w:rsid w:val="0059254A"/>
    <w:rsid w:val="00593C53"/>
    <w:rsid w:val="00594C8D"/>
    <w:rsid w:val="0059559B"/>
    <w:rsid w:val="005A0A68"/>
    <w:rsid w:val="005A2647"/>
    <w:rsid w:val="005A3C34"/>
    <w:rsid w:val="005A7425"/>
    <w:rsid w:val="005B1879"/>
    <w:rsid w:val="005B267A"/>
    <w:rsid w:val="005B3D4D"/>
    <w:rsid w:val="005C02D2"/>
    <w:rsid w:val="005D1E89"/>
    <w:rsid w:val="005D36CA"/>
    <w:rsid w:val="005E62FC"/>
    <w:rsid w:val="005E6D79"/>
    <w:rsid w:val="005E73C2"/>
    <w:rsid w:val="005F1F82"/>
    <w:rsid w:val="005F2B59"/>
    <w:rsid w:val="005F39D2"/>
    <w:rsid w:val="005F3F16"/>
    <w:rsid w:val="005F4A49"/>
    <w:rsid w:val="005F7A22"/>
    <w:rsid w:val="005F7EB9"/>
    <w:rsid w:val="006029ED"/>
    <w:rsid w:val="006041C5"/>
    <w:rsid w:val="00607A75"/>
    <w:rsid w:val="006105A3"/>
    <w:rsid w:val="006106D9"/>
    <w:rsid w:val="00611E18"/>
    <w:rsid w:val="00613A27"/>
    <w:rsid w:val="00615385"/>
    <w:rsid w:val="00620E5E"/>
    <w:rsid w:val="006226E8"/>
    <w:rsid w:val="006243A4"/>
    <w:rsid w:val="0062634C"/>
    <w:rsid w:val="006269FF"/>
    <w:rsid w:val="00635F64"/>
    <w:rsid w:val="00642EE4"/>
    <w:rsid w:val="00651251"/>
    <w:rsid w:val="00651767"/>
    <w:rsid w:val="00653E74"/>
    <w:rsid w:val="006625BB"/>
    <w:rsid w:val="0066495E"/>
    <w:rsid w:val="00665705"/>
    <w:rsid w:val="00666098"/>
    <w:rsid w:val="006676A7"/>
    <w:rsid w:val="00671C07"/>
    <w:rsid w:val="00671CA8"/>
    <w:rsid w:val="0067223B"/>
    <w:rsid w:val="006722EE"/>
    <w:rsid w:val="006726A0"/>
    <w:rsid w:val="00672C0A"/>
    <w:rsid w:val="00673A47"/>
    <w:rsid w:val="00674A6B"/>
    <w:rsid w:val="00675FE0"/>
    <w:rsid w:val="006764DE"/>
    <w:rsid w:val="00676B81"/>
    <w:rsid w:val="00680160"/>
    <w:rsid w:val="00685391"/>
    <w:rsid w:val="00685D83"/>
    <w:rsid w:val="00687592"/>
    <w:rsid w:val="00692D84"/>
    <w:rsid w:val="00692F56"/>
    <w:rsid w:val="00694B97"/>
    <w:rsid w:val="006A3167"/>
    <w:rsid w:val="006A7DE5"/>
    <w:rsid w:val="006B4937"/>
    <w:rsid w:val="006C2A5E"/>
    <w:rsid w:val="006C301D"/>
    <w:rsid w:val="006C4E5D"/>
    <w:rsid w:val="006C7BCE"/>
    <w:rsid w:val="006D1752"/>
    <w:rsid w:val="006D31FB"/>
    <w:rsid w:val="006D5F2A"/>
    <w:rsid w:val="006E06FA"/>
    <w:rsid w:val="006E67ED"/>
    <w:rsid w:val="006E6FD6"/>
    <w:rsid w:val="006F1DED"/>
    <w:rsid w:val="00700B45"/>
    <w:rsid w:val="007022E9"/>
    <w:rsid w:val="00702A89"/>
    <w:rsid w:val="00704FB0"/>
    <w:rsid w:val="00711A22"/>
    <w:rsid w:val="00711C17"/>
    <w:rsid w:val="0071365E"/>
    <w:rsid w:val="007148AF"/>
    <w:rsid w:val="00715850"/>
    <w:rsid w:val="00721FAA"/>
    <w:rsid w:val="00724F39"/>
    <w:rsid w:val="007263F5"/>
    <w:rsid w:val="00731A05"/>
    <w:rsid w:val="007322B1"/>
    <w:rsid w:val="00732B7F"/>
    <w:rsid w:val="00733D97"/>
    <w:rsid w:val="00740C1E"/>
    <w:rsid w:val="00745499"/>
    <w:rsid w:val="0074656A"/>
    <w:rsid w:val="00756CD0"/>
    <w:rsid w:val="00756EB5"/>
    <w:rsid w:val="007629CD"/>
    <w:rsid w:val="0076362F"/>
    <w:rsid w:val="007668B7"/>
    <w:rsid w:val="00770E26"/>
    <w:rsid w:val="00775597"/>
    <w:rsid w:val="0077571E"/>
    <w:rsid w:val="007766A1"/>
    <w:rsid w:val="00783086"/>
    <w:rsid w:val="007913EC"/>
    <w:rsid w:val="00791FC3"/>
    <w:rsid w:val="007932D4"/>
    <w:rsid w:val="0079743E"/>
    <w:rsid w:val="007A2B00"/>
    <w:rsid w:val="007A3146"/>
    <w:rsid w:val="007B21CA"/>
    <w:rsid w:val="007B3ADB"/>
    <w:rsid w:val="007B4C64"/>
    <w:rsid w:val="007B7FDB"/>
    <w:rsid w:val="007D093C"/>
    <w:rsid w:val="007D3276"/>
    <w:rsid w:val="007D539D"/>
    <w:rsid w:val="007E0586"/>
    <w:rsid w:val="007E0DB2"/>
    <w:rsid w:val="007E174D"/>
    <w:rsid w:val="007E1D11"/>
    <w:rsid w:val="007E456C"/>
    <w:rsid w:val="007E6A9D"/>
    <w:rsid w:val="007E7CA0"/>
    <w:rsid w:val="007F0B0E"/>
    <w:rsid w:val="007F6432"/>
    <w:rsid w:val="007F7455"/>
    <w:rsid w:val="00811236"/>
    <w:rsid w:val="0081177D"/>
    <w:rsid w:val="00813926"/>
    <w:rsid w:val="00815385"/>
    <w:rsid w:val="00817D56"/>
    <w:rsid w:val="008303B5"/>
    <w:rsid w:val="00830D4C"/>
    <w:rsid w:val="00833D36"/>
    <w:rsid w:val="008364EF"/>
    <w:rsid w:val="00837AFE"/>
    <w:rsid w:val="0084630A"/>
    <w:rsid w:val="00847843"/>
    <w:rsid w:val="00850EAF"/>
    <w:rsid w:val="00852019"/>
    <w:rsid w:val="0085399F"/>
    <w:rsid w:val="00853DB6"/>
    <w:rsid w:val="00854FAD"/>
    <w:rsid w:val="0085677C"/>
    <w:rsid w:val="00857954"/>
    <w:rsid w:val="00861B14"/>
    <w:rsid w:val="008625C0"/>
    <w:rsid w:val="00864304"/>
    <w:rsid w:val="008672CC"/>
    <w:rsid w:val="00870E7C"/>
    <w:rsid w:val="008759DA"/>
    <w:rsid w:val="00876D33"/>
    <w:rsid w:val="0087790C"/>
    <w:rsid w:val="008861AC"/>
    <w:rsid w:val="00892044"/>
    <w:rsid w:val="0089343A"/>
    <w:rsid w:val="00896FE5"/>
    <w:rsid w:val="008972BE"/>
    <w:rsid w:val="00897598"/>
    <w:rsid w:val="00897908"/>
    <w:rsid w:val="00897B5C"/>
    <w:rsid w:val="008A02FA"/>
    <w:rsid w:val="008A3765"/>
    <w:rsid w:val="008A3E0B"/>
    <w:rsid w:val="008A3E31"/>
    <w:rsid w:val="008A5399"/>
    <w:rsid w:val="008A5989"/>
    <w:rsid w:val="008B0F0D"/>
    <w:rsid w:val="008B131F"/>
    <w:rsid w:val="008B55D2"/>
    <w:rsid w:val="008B6ADC"/>
    <w:rsid w:val="008B71EA"/>
    <w:rsid w:val="008C188C"/>
    <w:rsid w:val="008C2D64"/>
    <w:rsid w:val="008C36B0"/>
    <w:rsid w:val="008D1339"/>
    <w:rsid w:val="008D27DC"/>
    <w:rsid w:val="008D37D3"/>
    <w:rsid w:val="008E246A"/>
    <w:rsid w:val="008F110D"/>
    <w:rsid w:val="008F1698"/>
    <w:rsid w:val="008F16BA"/>
    <w:rsid w:val="008F5237"/>
    <w:rsid w:val="008F76DD"/>
    <w:rsid w:val="00907BFB"/>
    <w:rsid w:val="0091330C"/>
    <w:rsid w:val="00914524"/>
    <w:rsid w:val="0091535D"/>
    <w:rsid w:val="009208B2"/>
    <w:rsid w:val="0092425C"/>
    <w:rsid w:val="00924F35"/>
    <w:rsid w:val="00925355"/>
    <w:rsid w:val="00933136"/>
    <w:rsid w:val="00934049"/>
    <w:rsid w:val="00935A30"/>
    <w:rsid w:val="00935F73"/>
    <w:rsid w:val="00945247"/>
    <w:rsid w:val="00946B48"/>
    <w:rsid w:val="00946BED"/>
    <w:rsid w:val="0095301B"/>
    <w:rsid w:val="00953970"/>
    <w:rsid w:val="009551D4"/>
    <w:rsid w:val="00957DF6"/>
    <w:rsid w:val="00964976"/>
    <w:rsid w:val="009653DB"/>
    <w:rsid w:val="00966048"/>
    <w:rsid w:val="00967BE7"/>
    <w:rsid w:val="00967DB6"/>
    <w:rsid w:val="009720B8"/>
    <w:rsid w:val="009730B5"/>
    <w:rsid w:val="009736D7"/>
    <w:rsid w:val="00973F3D"/>
    <w:rsid w:val="00974306"/>
    <w:rsid w:val="00975172"/>
    <w:rsid w:val="009773C2"/>
    <w:rsid w:val="009774B6"/>
    <w:rsid w:val="0097778B"/>
    <w:rsid w:val="00977DF2"/>
    <w:rsid w:val="00983A4D"/>
    <w:rsid w:val="0098673A"/>
    <w:rsid w:val="00987589"/>
    <w:rsid w:val="00991B7A"/>
    <w:rsid w:val="00994D0F"/>
    <w:rsid w:val="009A150B"/>
    <w:rsid w:val="009A4B4C"/>
    <w:rsid w:val="009A6A2B"/>
    <w:rsid w:val="009A7D23"/>
    <w:rsid w:val="009B1D9C"/>
    <w:rsid w:val="009B1F21"/>
    <w:rsid w:val="009B3735"/>
    <w:rsid w:val="009C2A95"/>
    <w:rsid w:val="009C5ACE"/>
    <w:rsid w:val="009C744C"/>
    <w:rsid w:val="009D2E7A"/>
    <w:rsid w:val="009E3A60"/>
    <w:rsid w:val="009E4181"/>
    <w:rsid w:val="009E4B00"/>
    <w:rsid w:val="009E590C"/>
    <w:rsid w:val="009F1348"/>
    <w:rsid w:val="009F2E58"/>
    <w:rsid w:val="00A00A16"/>
    <w:rsid w:val="00A068D0"/>
    <w:rsid w:val="00A11227"/>
    <w:rsid w:val="00A14D46"/>
    <w:rsid w:val="00A219A3"/>
    <w:rsid w:val="00A225F5"/>
    <w:rsid w:val="00A35BBD"/>
    <w:rsid w:val="00A3672E"/>
    <w:rsid w:val="00A378C3"/>
    <w:rsid w:val="00A425A5"/>
    <w:rsid w:val="00A451D6"/>
    <w:rsid w:val="00A4688E"/>
    <w:rsid w:val="00A54D65"/>
    <w:rsid w:val="00A55D86"/>
    <w:rsid w:val="00A57446"/>
    <w:rsid w:val="00A57BFC"/>
    <w:rsid w:val="00A62BAC"/>
    <w:rsid w:val="00A74196"/>
    <w:rsid w:val="00A760AF"/>
    <w:rsid w:val="00A77DB4"/>
    <w:rsid w:val="00A81BA1"/>
    <w:rsid w:val="00A83BF6"/>
    <w:rsid w:val="00A93853"/>
    <w:rsid w:val="00A94091"/>
    <w:rsid w:val="00A945F7"/>
    <w:rsid w:val="00A965A0"/>
    <w:rsid w:val="00AA1075"/>
    <w:rsid w:val="00AA3778"/>
    <w:rsid w:val="00AA3960"/>
    <w:rsid w:val="00AB05B5"/>
    <w:rsid w:val="00AB1144"/>
    <w:rsid w:val="00AB3D3A"/>
    <w:rsid w:val="00AB639C"/>
    <w:rsid w:val="00AC71F2"/>
    <w:rsid w:val="00AC7B7F"/>
    <w:rsid w:val="00AD0FE7"/>
    <w:rsid w:val="00AD1D7C"/>
    <w:rsid w:val="00AE54C6"/>
    <w:rsid w:val="00AE5618"/>
    <w:rsid w:val="00AE5A14"/>
    <w:rsid w:val="00AF3225"/>
    <w:rsid w:val="00AF435A"/>
    <w:rsid w:val="00B04D17"/>
    <w:rsid w:val="00B2206F"/>
    <w:rsid w:val="00B25784"/>
    <w:rsid w:val="00B264C2"/>
    <w:rsid w:val="00B332D4"/>
    <w:rsid w:val="00B34653"/>
    <w:rsid w:val="00B40206"/>
    <w:rsid w:val="00B41F2C"/>
    <w:rsid w:val="00B45CB3"/>
    <w:rsid w:val="00B46202"/>
    <w:rsid w:val="00B4655B"/>
    <w:rsid w:val="00B46CEB"/>
    <w:rsid w:val="00B512B8"/>
    <w:rsid w:val="00B6184C"/>
    <w:rsid w:val="00B626DC"/>
    <w:rsid w:val="00B654B5"/>
    <w:rsid w:val="00B75B7E"/>
    <w:rsid w:val="00B82DFA"/>
    <w:rsid w:val="00B83FAA"/>
    <w:rsid w:val="00B912F7"/>
    <w:rsid w:val="00B91644"/>
    <w:rsid w:val="00B93C5D"/>
    <w:rsid w:val="00B95B9B"/>
    <w:rsid w:val="00BA64D0"/>
    <w:rsid w:val="00BA7BCF"/>
    <w:rsid w:val="00BB321C"/>
    <w:rsid w:val="00BB4A7C"/>
    <w:rsid w:val="00BB6299"/>
    <w:rsid w:val="00BB6AD1"/>
    <w:rsid w:val="00BB73F4"/>
    <w:rsid w:val="00BC02E7"/>
    <w:rsid w:val="00BD4CD5"/>
    <w:rsid w:val="00BD619F"/>
    <w:rsid w:val="00BE1061"/>
    <w:rsid w:val="00BE3A9D"/>
    <w:rsid w:val="00BE760E"/>
    <w:rsid w:val="00BF2DE2"/>
    <w:rsid w:val="00BF4092"/>
    <w:rsid w:val="00BF6FB5"/>
    <w:rsid w:val="00C05E04"/>
    <w:rsid w:val="00C06909"/>
    <w:rsid w:val="00C1007B"/>
    <w:rsid w:val="00C1130B"/>
    <w:rsid w:val="00C117DA"/>
    <w:rsid w:val="00C1270A"/>
    <w:rsid w:val="00C14838"/>
    <w:rsid w:val="00C15CF8"/>
    <w:rsid w:val="00C21808"/>
    <w:rsid w:val="00C22C17"/>
    <w:rsid w:val="00C244AF"/>
    <w:rsid w:val="00C2659E"/>
    <w:rsid w:val="00C26C08"/>
    <w:rsid w:val="00C27789"/>
    <w:rsid w:val="00C277E1"/>
    <w:rsid w:val="00C277EF"/>
    <w:rsid w:val="00C3054E"/>
    <w:rsid w:val="00C3197E"/>
    <w:rsid w:val="00C35AB0"/>
    <w:rsid w:val="00C35D8F"/>
    <w:rsid w:val="00C3698F"/>
    <w:rsid w:val="00C37891"/>
    <w:rsid w:val="00C402AE"/>
    <w:rsid w:val="00C413C7"/>
    <w:rsid w:val="00C4440E"/>
    <w:rsid w:val="00C45614"/>
    <w:rsid w:val="00C47895"/>
    <w:rsid w:val="00C50458"/>
    <w:rsid w:val="00C62F7C"/>
    <w:rsid w:val="00C65175"/>
    <w:rsid w:val="00C6757A"/>
    <w:rsid w:val="00C83772"/>
    <w:rsid w:val="00C83821"/>
    <w:rsid w:val="00C9071A"/>
    <w:rsid w:val="00C919DD"/>
    <w:rsid w:val="00C96B91"/>
    <w:rsid w:val="00C96DF0"/>
    <w:rsid w:val="00CA786A"/>
    <w:rsid w:val="00CB222C"/>
    <w:rsid w:val="00CB3E6D"/>
    <w:rsid w:val="00CB4BC7"/>
    <w:rsid w:val="00CB4EA7"/>
    <w:rsid w:val="00CB5F83"/>
    <w:rsid w:val="00CC2DBE"/>
    <w:rsid w:val="00CC3372"/>
    <w:rsid w:val="00CC7D3F"/>
    <w:rsid w:val="00CD6F8C"/>
    <w:rsid w:val="00CE08C5"/>
    <w:rsid w:val="00CE2E8A"/>
    <w:rsid w:val="00CE5245"/>
    <w:rsid w:val="00CF04A8"/>
    <w:rsid w:val="00CF2BA4"/>
    <w:rsid w:val="00CF2CDD"/>
    <w:rsid w:val="00D0448D"/>
    <w:rsid w:val="00D049C1"/>
    <w:rsid w:val="00D06C95"/>
    <w:rsid w:val="00D0787B"/>
    <w:rsid w:val="00D10B81"/>
    <w:rsid w:val="00D168EF"/>
    <w:rsid w:val="00D173A7"/>
    <w:rsid w:val="00D174B3"/>
    <w:rsid w:val="00D302E7"/>
    <w:rsid w:val="00D348EB"/>
    <w:rsid w:val="00D44385"/>
    <w:rsid w:val="00D51991"/>
    <w:rsid w:val="00D63CC4"/>
    <w:rsid w:val="00D70A17"/>
    <w:rsid w:val="00D70AE0"/>
    <w:rsid w:val="00D714E1"/>
    <w:rsid w:val="00D71C11"/>
    <w:rsid w:val="00D7466C"/>
    <w:rsid w:val="00D80038"/>
    <w:rsid w:val="00D80CB3"/>
    <w:rsid w:val="00D80D14"/>
    <w:rsid w:val="00D87D8A"/>
    <w:rsid w:val="00D87F2F"/>
    <w:rsid w:val="00D9533C"/>
    <w:rsid w:val="00D95BCA"/>
    <w:rsid w:val="00D9740B"/>
    <w:rsid w:val="00DA3C87"/>
    <w:rsid w:val="00DA3CF1"/>
    <w:rsid w:val="00DA3E02"/>
    <w:rsid w:val="00DA3E8B"/>
    <w:rsid w:val="00DB2AA4"/>
    <w:rsid w:val="00DB34B4"/>
    <w:rsid w:val="00DC2A5A"/>
    <w:rsid w:val="00DC79ED"/>
    <w:rsid w:val="00DD0FAD"/>
    <w:rsid w:val="00DD1C88"/>
    <w:rsid w:val="00DD20C1"/>
    <w:rsid w:val="00DD2778"/>
    <w:rsid w:val="00DD77FF"/>
    <w:rsid w:val="00DD7D52"/>
    <w:rsid w:val="00DE21E8"/>
    <w:rsid w:val="00DE2831"/>
    <w:rsid w:val="00DE3F56"/>
    <w:rsid w:val="00DE4D86"/>
    <w:rsid w:val="00DE5159"/>
    <w:rsid w:val="00DF239F"/>
    <w:rsid w:val="00DF2DEC"/>
    <w:rsid w:val="00DF3BCD"/>
    <w:rsid w:val="00DF7F66"/>
    <w:rsid w:val="00E025E6"/>
    <w:rsid w:val="00E02F20"/>
    <w:rsid w:val="00E0334D"/>
    <w:rsid w:val="00E04AD7"/>
    <w:rsid w:val="00E0512F"/>
    <w:rsid w:val="00E05B70"/>
    <w:rsid w:val="00E108D8"/>
    <w:rsid w:val="00E127B1"/>
    <w:rsid w:val="00E15EC9"/>
    <w:rsid w:val="00E21589"/>
    <w:rsid w:val="00E23724"/>
    <w:rsid w:val="00E269EF"/>
    <w:rsid w:val="00E26AE4"/>
    <w:rsid w:val="00E26B40"/>
    <w:rsid w:val="00E32A7E"/>
    <w:rsid w:val="00E34303"/>
    <w:rsid w:val="00E40601"/>
    <w:rsid w:val="00E42F5C"/>
    <w:rsid w:val="00E45DB0"/>
    <w:rsid w:val="00E46A75"/>
    <w:rsid w:val="00E50D9F"/>
    <w:rsid w:val="00E5335C"/>
    <w:rsid w:val="00E53733"/>
    <w:rsid w:val="00E619FA"/>
    <w:rsid w:val="00E63C07"/>
    <w:rsid w:val="00E67543"/>
    <w:rsid w:val="00E67C35"/>
    <w:rsid w:val="00E7091B"/>
    <w:rsid w:val="00E70F86"/>
    <w:rsid w:val="00E725D0"/>
    <w:rsid w:val="00E7455D"/>
    <w:rsid w:val="00E767BD"/>
    <w:rsid w:val="00E76FCE"/>
    <w:rsid w:val="00E848FB"/>
    <w:rsid w:val="00E86D92"/>
    <w:rsid w:val="00E876E8"/>
    <w:rsid w:val="00EA0EF8"/>
    <w:rsid w:val="00EA20E4"/>
    <w:rsid w:val="00EA4AD3"/>
    <w:rsid w:val="00EB025A"/>
    <w:rsid w:val="00EB665F"/>
    <w:rsid w:val="00EC03D2"/>
    <w:rsid w:val="00EC3043"/>
    <w:rsid w:val="00EC4049"/>
    <w:rsid w:val="00ED0478"/>
    <w:rsid w:val="00ED6912"/>
    <w:rsid w:val="00EE1E5D"/>
    <w:rsid w:val="00EF2196"/>
    <w:rsid w:val="00EF4656"/>
    <w:rsid w:val="00EF5C8A"/>
    <w:rsid w:val="00EF5D88"/>
    <w:rsid w:val="00EF7F04"/>
    <w:rsid w:val="00F04042"/>
    <w:rsid w:val="00F07F89"/>
    <w:rsid w:val="00F07FC1"/>
    <w:rsid w:val="00F107F2"/>
    <w:rsid w:val="00F132BD"/>
    <w:rsid w:val="00F140E6"/>
    <w:rsid w:val="00F16E9C"/>
    <w:rsid w:val="00F21740"/>
    <w:rsid w:val="00F23A4F"/>
    <w:rsid w:val="00F25DB4"/>
    <w:rsid w:val="00F26194"/>
    <w:rsid w:val="00F27B20"/>
    <w:rsid w:val="00F30330"/>
    <w:rsid w:val="00F33EB9"/>
    <w:rsid w:val="00F341FC"/>
    <w:rsid w:val="00F349D1"/>
    <w:rsid w:val="00F37074"/>
    <w:rsid w:val="00F427AD"/>
    <w:rsid w:val="00F50119"/>
    <w:rsid w:val="00F5349B"/>
    <w:rsid w:val="00F54554"/>
    <w:rsid w:val="00F55296"/>
    <w:rsid w:val="00F5681D"/>
    <w:rsid w:val="00F67EB5"/>
    <w:rsid w:val="00F70768"/>
    <w:rsid w:val="00F7384A"/>
    <w:rsid w:val="00F73DBB"/>
    <w:rsid w:val="00F74ADF"/>
    <w:rsid w:val="00F85CA3"/>
    <w:rsid w:val="00F876A9"/>
    <w:rsid w:val="00F90110"/>
    <w:rsid w:val="00FA0652"/>
    <w:rsid w:val="00FA2B0A"/>
    <w:rsid w:val="00FA5C28"/>
    <w:rsid w:val="00FA789E"/>
    <w:rsid w:val="00FA7DCE"/>
    <w:rsid w:val="00FB0178"/>
    <w:rsid w:val="00FB1DF0"/>
    <w:rsid w:val="00FB231E"/>
    <w:rsid w:val="00FC14D8"/>
    <w:rsid w:val="00FC2AD1"/>
    <w:rsid w:val="00FC3989"/>
    <w:rsid w:val="00FC3D36"/>
    <w:rsid w:val="00FD0363"/>
    <w:rsid w:val="00FD7FB4"/>
    <w:rsid w:val="00FE1691"/>
    <w:rsid w:val="00FE77CB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4F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5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B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BA1"/>
  </w:style>
  <w:style w:type="paragraph" w:styleId="Piedepgina">
    <w:name w:val="footer"/>
    <w:basedOn w:val="Normal"/>
    <w:link w:val="PiedepginaCar"/>
    <w:uiPriority w:val="99"/>
    <w:unhideWhenUsed/>
    <w:rsid w:val="00A81B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BA1"/>
  </w:style>
  <w:style w:type="paragraph" w:styleId="Textodeglobo">
    <w:name w:val="Balloon Text"/>
    <w:basedOn w:val="Normal"/>
    <w:link w:val="TextodegloboCar"/>
    <w:uiPriority w:val="99"/>
    <w:semiHidden/>
    <w:unhideWhenUsed/>
    <w:rsid w:val="00A81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BA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A81BA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A3985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666098"/>
    <w:pPr>
      <w:autoSpaceDE w:val="0"/>
      <w:autoSpaceDN w:val="0"/>
      <w:adjustRightInd w:val="0"/>
      <w:spacing w:before="240" w:after="0" w:line="240" w:lineRule="auto"/>
    </w:pPr>
    <w:rPr>
      <w:rFonts w:ascii="Verdana" w:eastAsia="Times New Roman" w:hAnsi="Verdana" w:cs="Times New Roman"/>
      <w:color w:val="000000"/>
      <w:sz w:val="3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66098"/>
    <w:rPr>
      <w:rFonts w:ascii="Verdana" w:eastAsia="Times New Roman" w:hAnsi="Verdana" w:cs="Times New Roman"/>
      <w:color w:val="000000"/>
      <w:sz w:val="36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666098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0329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29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293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29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293C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1270A"/>
    <w:pPr>
      <w:spacing w:after="0" w:line="240" w:lineRule="auto"/>
    </w:pPr>
  </w:style>
  <w:style w:type="paragraph" w:customStyle="1" w:styleId="CM7">
    <w:name w:val="CM7"/>
    <w:basedOn w:val="Normal"/>
    <w:next w:val="Normal"/>
    <w:uiPriority w:val="99"/>
    <w:rsid w:val="003E67BC"/>
    <w:pPr>
      <w:widowControl w:val="0"/>
      <w:autoSpaceDE w:val="0"/>
      <w:autoSpaceDN w:val="0"/>
      <w:adjustRightInd w:val="0"/>
      <w:spacing w:after="243" w:line="240" w:lineRule="auto"/>
    </w:pPr>
    <w:rPr>
      <w:rFonts w:ascii="Helvetica" w:eastAsia="Times New Roman" w:hAnsi="Helvetica" w:cs="Helvetica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DE4D86"/>
  </w:style>
  <w:style w:type="paragraph" w:styleId="NormalWeb">
    <w:name w:val="Normal (Web)"/>
    <w:basedOn w:val="Normal"/>
    <w:uiPriority w:val="99"/>
    <w:unhideWhenUsed/>
    <w:rsid w:val="006E6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5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B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BA1"/>
  </w:style>
  <w:style w:type="paragraph" w:styleId="Piedepgina">
    <w:name w:val="footer"/>
    <w:basedOn w:val="Normal"/>
    <w:link w:val="PiedepginaCar"/>
    <w:uiPriority w:val="99"/>
    <w:unhideWhenUsed/>
    <w:rsid w:val="00A81B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BA1"/>
  </w:style>
  <w:style w:type="paragraph" w:styleId="Textodeglobo">
    <w:name w:val="Balloon Text"/>
    <w:basedOn w:val="Normal"/>
    <w:link w:val="TextodegloboCar"/>
    <w:uiPriority w:val="99"/>
    <w:semiHidden/>
    <w:unhideWhenUsed/>
    <w:rsid w:val="00A81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BA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A81BA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A3985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666098"/>
    <w:pPr>
      <w:autoSpaceDE w:val="0"/>
      <w:autoSpaceDN w:val="0"/>
      <w:adjustRightInd w:val="0"/>
      <w:spacing w:before="240" w:after="0" w:line="240" w:lineRule="auto"/>
    </w:pPr>
    <w:rPr>
      <w:rFonts w:ascii="Verdana" w:eastAsia="Times New Roman" w:hAnsi="Verdana" w:cs="Times New Roman"/>
      <w:color w:val="000000"/>
      <w:sz w:val="3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66098"/>
    <w:rPr>
      <w:rFonts w:ascii="Verdana" w:eastAsia="Times New Roman" w:hAnsi="Verdana" w:cs="Times New Roman"/>
      <w:color w:val="000000"/>
      <w:sz w:val="36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666098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0329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29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293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29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293C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1270A"/>
    <w:pPr>
      <w:spacing w:after="0" w:line="240" w:lineRule="auto"/>
    </w:pPr>
  </w:style>
  <w:style w:type="paragraph" w:customStyle="1" w:styleId="CM7">
    <w:name w:val="CM7"/>
    <w:basedOn w:val="Normal"/>
    <w:next w:val="Normal"/>
    <w:uiPriority w:val="99"/>
    <w:rsid w:val="003E67BC"/>
    <w:pPr>
      <w:widowControl w:val="0"/>
      <w:autoSpaceDE w:val="0"/>
      <w:autoSpaceDN w:val="0"/>
      <w:adjustRightInd w:val="0"/>
      <w:spacing w:after="243" w:line="240" w:lineRule="auto"/>
    </w:pPr>
    <w:rPr>
      <w:rFonts w:ascii="Helvetica" w:eastAsia="Times New Roman" w:hAnsi="Helvetica" w:cs="Helvetica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DE4D86"/>
  </w:style>
  <w:style w:type="paragraph" w:styleId="NormalWeb">
    <w:name w:val="Normal (Web)"/>
    <w:basedOn w:val="Normal"/>
    <w:uiPriority w:val="99"/>
    <w:unhideWhenUsed/>
    <w:rsid w:val="006E6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939BF-A177-4165-823C-42A44FB0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BMN</Company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Raúl Jiménez Sánchez</dc:creator>
  <cp:lastModifiedBy>Raul Jiménez Sánchez</cp:lastModifiedBy>
  <cp:revision>5</cp:revision>
  <cp:lastPrinted>2017-03-23T13:29:00Z</cp:lastPrinted>
  <dcterms:created xsi:type="dcterms:W3CDTF">2017-03-24T10:13:00Z</dcterms:created>
  <dcterms:modified xsi:type="dcterms:W3CDTF">2017-03-24T16:08:00Z</dcterms:modified>
</cp:coreProperties>
</file>