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7" w:type="dxa"/>
        <w:jc w:val="center"/>
        <w:tblCellSpacing w:w="0" w:type="dxa"/>
        <w:shd w:val="clear" w:color="auto" w:fill="FFFFFF"/>
        <w:tblCellMar>
          <w:left w:w="0" w:type="dxa"/>
          <w:right w:w="0" w:type="dxa"/>
        </w:tblCellMar>
        <w:tblLook w:val="04A0" w:firstRow="1" w:lastRow="0" w:firstColumn="1" w:lastColumn="0" w:noHBand="0" w:noVBand="1"/>
      </w:tblPr>
      <w:tblGrid>
        <w:gridCol w:w="310"/>
        <w:gridCol w:w="3679"/>
        <w:gridCol w:w="6076"/>
        <w:gridCol w:w="432"/>
      </w:tblGrid>
      <w:tr w:rsidR="00C75BF8" w:rsidTr="00C75BF8">
        <w:trPr>
          <w:tblCellSpacing w:w="0" w:type="dxa"/>
          <w:jc w:val="center"/>
        </w:trPr>
        <w:tc>
          <w:tcPr>
            <w:tcW w:w="10497" w:type="dxa"/>
            <w:gridSpan w:val="4"/>
            <w:shd w:val="clear" w:color="auto" w:fill="EDEAF2"/>
            <w:vAlign w:val="center"/>
            <w:hideMark/>
          </w:tcPr>
          <w:p w:rsidR="00C75BF8" w:rsidRDefault="00C75BF8">
            <w:pPr>
              <w:jc w:val="both"/>
              <w:rPr>
                <w:rFonts w:ascii="Arial" w:hAnsi="Arial" w:cs="Arial"/>
              </w:rPr>
            </w:pPr>
            <w:r>
              <w:rPr>
                <w:rFonts w:ascii="Arial" w:hAnsi="Arial" w:cs="Arial"/>
                <w:noProof/>
              </w:rPr>
              <w:drawing>
                <wp:inline distT="0" distB="0" distL="0" distR="0">
                  <wp:extent cx="6609715" cy="1003935"/>
                  <wp:effectExtent l="0" t="0" r="635" b="5715"/>
                  <wp:docPr id="5" name="Imagen 5" descr="cid:image006.png@01D19A43.92A2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19A43.92A220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609715" cy="1003935"/>
                          </a:xfrm>
                          <a:prstGeom prst="rect">
                            <a:avLst/>
                          </a:prstGeom>
                          <a:noFill/>
                          <a:ln>
                            <a:noFill/>
                          </a:ln>
                        </pic:spPr>
                      </pic:pic>
                    </a:graphicData>
                  </a:graphic>
                </wp:inline>
              </w:drawing>
            </w:r>
          </w:p>
        </w:tc>
      </w:tr>
      <w:tr w:rsidR="00C75BF8" w:rsidTr="00C75BF8">
        <w:trPr>
          <w:trHeight w:val="450"/>
          <w:tblCellSpacing w:w="0" w:type="dxa"/>
          <w:jc w:val="center"/>
        </w:trPr>
        <w:tc>
          <w:tcPr>
            <w:tcW w:w="0" w:type="auto"/>
            <w:shd w:val="clear" w:color="auto" w:fill="FFFFFF"/>
            <w:vAlign w:val="center"/>
            <w:hideMark/>
          </w:tcPr>
          <w:p w:rsidR="00C75BF8" w:rsidRDefault="00C75BF8">
            <w:pPr>
              <w:jc w:val="both"/>
              <w:rPr>
                <w:rFonts w:ascii="Arial" w:hAnsi="Arial" w:cs="Arial"/>
              </w:rPr>
            </w:pPr>
            <w:r>
              <w:rPr>
                <w:rFonts w:ascii="Arial" w:hAnsi="Arial" w:cs="Arial"/>
              </w:rPr>
              <w:t> </w:t>
            </w:r>
          </w:p>
        </w:tc>
        <w:tc>
          <w:tcPr>
            <w:tcW w:w="9755" w:type="dxa"/>
            <w:gridSpan w:val="2"/>
            <w:shd w:val="clear" w:color="auto" w:fill="FFFFFF"/>
            <w:vAlign w:val="center"/>
            <w:hideMark/>
          </w:tcPr>
          <w:p w:rsidR="00C75BF8" w:rsidRDefault="00C75BF8">
            <w:pPr>
              <w:rPr>
                <w:rFonts w:ascii="Arial" w:hAnsi="Arial" w:cs="Arial"/>
              </w:rPr>
            </w:pPr>
          </w:p>
        </w:tc>
        <w:tc>
          <w:tcPr>
            <w:tcW w:w="432" w:type="dxa"/>
            <w:shd w:val="clear" w:color="auto" w:fill="FFFFFF"/>
            <w:vAlign w:val="center"/>
            <w:hideMark/>
          </w:tcPr>
          <w:p w:rsidR="00C75BF8" w:rsidRDefault="00C75BF8">
            <w:pPr>
              <w:jc w:val="both"/>
              <w:rPr>
                <w:rFonts w:ascii="Arial" w:hAnsi="Arial" w:cs="Arial"/>
              </w:rPr>
            </w:pPr>
            <w:r>
              <w:rPr>
                <w:rFonts w:ascii="Arial" w:hAnsi="Arial" w:cs="Arial"/>
              </w:rPr>
              <w:t> </w:t>
            </w:r>
          </w:p>
        </w:tc>
      </w:tr>
      <w:tr w:rsidR="00C75BF8" w:rsidTr="00C75BF8">
        <w:trPr>
          <w:trHeight w:val="2148"/>
          <w:tblCellSpacing w:w="0" w:type="dxa"/>
          <w:jc w:val="center"/>
        </w:trPr>
        <w:tc>
          <w:tcPr>
            <w:tcW w:w="310" w:type="dxa"/>
            <w:shd w:val="clear" w:color="auto" w:fill="FFFFFF"/>
            <w:vAlign w:val="center"/>
            <w:hideMark/>
          </w:tcPr>
          <w:p w:rsidR="00C75BF8" w:rsidRDefault="00C75BF8">
            <w:pPr>
              <w:spacing w:line="360" w:lineRule="auto"/>
              <w:jc w:val="both"/>
              <w:rPr>
                <w:rFonts w:ascii="Century Gothic" w:hAnsi="Century Gothic"/>
                <w:color w:val="4F2D7F"/>
              </w:rPr>
            </w:pPr>
            <w:r>
              <w:rPr>
                <w:rFonts w:ascii="Century Gothic" w:hAnsi="Century Gothic"/>
                <w:color w:val="4F2D7F"/>
              </w:rPr>
              <w:t> </w:t>
            </w:r>
          </w:p>
        </w:tc>
        <w:tc>
          <w:tcPr>
            <w:tcW w:w="9755" w:type="dxa"/>
            <w:gridSpan w:val="2"/>
            <w:shd w:val="clear" w:color="auto" w:fill="FFFFFF"/>
            <w:vAlign w:val="center"/>
            <w:hideMark/>
          </w:tcPr>
          <w:p w:rsidR="00C75BF8" w:rsidRDefault="008703D5">
            <w:pPr>
              <w:spacing w:after="240" w:line="276" w:lineRule="auto"/>
              <w:rPr>
                <w:rFonts w:ascii="Century Gothic" w:eastAsia="Calibri" w:hAnsi="Century Gothic"/>
                <w:color w:val="4F2D7F"/>
                <w:sz w:val="20"/>
                <w:szCs w:val="20"/>
                <w:lang w:eastAsia="en-US"/>
              </w:rPr>
            </w:pPr>
            <w:r>
              <w:rPr>
                <w:rFonts w:ascii="Century Gothic" w:eastAsia="Calibri" w:hAnsi="Century Gothic"/>
                <w:color w:val="4F2D7F"/>
                <w:sz w:val="20"/>
                <w:szCs w:val="20"/>
                <w:lang w:eastAsia="en-US"/>
              </w:rPr>
              <w:t xml:space="preserve">Informe “La Economía Mundial en 2017: más allá de la incertidumbre”. </w:t>
            </w:r>
          </w:p>
          <w:p w:rsidR="00C75BF8" w:rsidRDefault="008703D5" w:rsidP="008703D5">
            <w:pPr>
              <w:spacing w:line="360" w:lineRule="auto"/>
              <w:jc w:val="center"/>
              <w:rPr>
                <w:rFonts w:ascii="Century Gothic" w:hAnsi="Century Gothic"/>
                <w:caps/>
                <w:color w:val="4F2D7F"/>
                <w:sz w:val="28"/>
                <w:szCs w:val="28"/>
              </w:rPr>
            </w:pPr>
            <w:r>
              <w:rPr>
                <w:rFonts w:ascii="Century Gothic" w:eastAsia="Calibri" w:hAnsi="Century Gothic"/>
                <w:caps/>
                <w:color w:val="4F2D7F"/>
                <w:sz w:val="28"/>
                <w:szCs w:val="28"/>
                <w:lang w:eastAsia="en-US"/>
              </w:rPr>
              <w:t xml:space="preserve">SÓLO 2 DE CADA 10 EMPRESAS en el mundo TIENEN PREVISTO AUMENTAR SALaRIOS POR ENCIMA DE LAS TASAS DE INFLACIÓN </w:t>
            </w:r>
            <w:r w:rsidR="00C75BF8">
              <w:rPr>
                <w:rFonts w:ascii="Century Gothic" w:hAnsi="Century Gothic"/>
                <w:caps/>
                <w:color w:val="4F2D7F"/>
                <w:sz w:val="28"/>
                <w:szCs w:val="28"/>
              </w:rPr>
              <w:t>_________________________________________________________________</w:t>
            </w:r>
          </w:p>
        </w:tc>
        <w:tc>
          <w:tcPr>
            <w:tcW w:w="432" w:type="dxa"/>
            <w:shd w:val="clear" w:color="auto" w:fill="FFFFFF"/>
            <w:vAlign w:val="center"/>
            <w:hideMark/>
          </w:tcPr>
          <w:p w:rsidR="00C75BF8" w:rsidRDefault="00C75BF8">
            <w:pPr>
              <w:jc w:val="both"/>
              <w:rPr>
                <w:rFonts w:ascii="Arial" w:hAnsi="Arial" w:cs="Arial"/>
              </w:rPr>
            </w:pPr>
            <w:r>
              <w:rPr>
                <w:rFonts w:ascii="Arial" w:hAnsi="Arial" w:cs="Arial"/>
              </w:rPr>
              <w:t> </w:t>
            </w:r>
          </w:p>
        </w:tc>
      </w:tr>
      <w:tr w:rsidR="00C75BF8" w:rsidTr="00C75BF8">
        <w:trPr>
          <w:trHeight w:val="80"/>
          <w:tblCellSpacing w:w="0" w:type="dxa"/>
          <w:jc w:val="center"/>
        </w:trPr>
        <w:tc>
          <w:tcPr>
            <w:tcW w:w="310" w:type="dxa"/>
            <w:shd w:val="clear" w:color="auto" w:fill="FFFFFF"/>
            <w:vAlign w:val="center"/>
            <w:hideMark/>
          </w:tcPr>
          <w:p w:rsidR="00C75BF8" w:rsidRDefault="00C75BF8">
            <w:pPr>
              <w:jc w:val="both"/>
              <w:rPr>
                <w:rFonts w:ascii="Arial" w:hAnsi="Arial" w:cs="Arial"/>
              </w:rPr>
            </w:pPr>
            <w:r>
              <w:rPr>
                <w:rFonts w:ascii="Arial" w:hAnsi="Arial" w:cs="Arial"/>
                <w:noProof/>
              </w:rPr>
              <w:drawing>
                <wp:inline distT="0" distB="0" distL="0" distR="0">
                  <wp:extent cx="188595" cy="10160"/>
                  <wp:effectExtent l="0" t="0" r="1905" b="8890"/>
                  <wp:docPr id="4" name="Imagen 4" descr="http://www.inkamarketing.es/grantthorton/va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kamarketing.es/grantthorton/vac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 cy="10160"/>
                          </a:xfrm>
                          <a:prstGeom prst="rect">
                            <a:avLst/>
                          </a:prstGeom>
                          <a:noFill/>
                          <a:ln>
                            <a:noFill/>
                          </a:ln>
                        </pic:spPr>
                      </pic:pic>
                    </a:graphicData>
                  </a:graphic>
                </wp:inline>
              </w:drawing>
            </w:r>
          </w:p>
        </w:tc>
        <w:tc>
          <w:tcPr>
            <w:tcW w:w="9755" w:type="dxa"/>
            <w:gridSpan w:val="2"/>
            <w:shd w:val="clear" w:color="auto" w:fill="FFFFFF"/>
            <w:vAlign w:val="center"/>
            <w:hideMark/>
          </w:tcPr>
          <w:p w:rsidR="00C75BF8" w:rsidRDefault="00C75BF8">
            <w:pPr>
              <w:rPr>
                <w:rFonts w:ascii="Arial" w:hAnsi="Arial" w:cs="Arial"/>
              </w:rPr>
            </w:pPr>
          </w:p>
        </w:tc>
        <w:tc>
          <w:tcPr>
            <w:tcW w:w="432" w:type="dxa"/>
            <w:shd w:val="clear" w:color="auto" w:fill="FFFFFF"/>
            <w:vAlign w:val="center"/>
            <w:hideMark/>
          </w:tcPr>
          <w:p w:rsidR="00C75BF8" w:rsidRDefault="00C75BF8">
            <w:pPr>
              <w:jc w:val="both"/>
              <w:rPr>
                <w:rFonts w:ascii="Arial" w:hAnsi="Arial" w:cs="Arial"/>
              </w:rPr>
            </w:pPr>
            <w:r>
              <w:rPr>
                <w:rFonts w:ascii="Arial" w:hAnsi="Arial" w:cs="Arial"/>
                <w:noProof/>
              </w:rPr>
              <w:drawing>
                <wp:inline distT="0" distB="0" distL="0" distR="0">
                  <wp:extent cx="188595" cy="10160"/>
                  <wp:effectExtent l="0" t="0" r="1905" b="8890"/>
                  <wp:docPr id="3" name="Imagen 3" descr="http://www.inkamarketing.es/grantthorton/va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nkamarketing.es/grantthorton/vac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 cy="10160"/>
                          </a:xfrm>
                          <a:prstGeom prst="rect">
                            <a:avLst/>
                          </a:prstGeom>
                          <a:noFill/>
                          <a:ln>
                            <a:noFill/>
                          </a:ln>
                        </pic:spPr>
                      </pic:pic>
                    </a:graphicData>
                  </a:graphic>
                </wp:inline>
              </w:drawing>
            </w:r>
          </w:p>
        </w:tc>
      </w:tr>
      <w:tr w:rsidR="00C75BF8" w:rsidTr="00C75BF8">
        <w:trPr>
          <w:tblCellSpacing w:w="0" w:type="dxa"/>
          <w:jc w:val="center"/>
        </w:trPr>
        <w:tc>
          <w:tcPr>
            <w:tcW w:w="310" w:type="dxa"/>
            <w:shd w:val="clear" w:color="auto" w:fill="FFFFFF"/>
            <w:vAlign w:val="center"/>
            <w:hideMark/>
          </w:tcPr>
          <w:p w:rsidR="00C75BF8" w:rsidRDefault="00C75BF8">
            <w:pPr>
              <w:jc w:val="both"/>
              <w:rPr>
                <w:rFonts w:ascii="Arial" w:hAnsi="Arial" w:cs="Arial"/>
              </w:rPr>
            </w:pPr>
            <w:r>
              <w:rPr>
                <w:rFonts w:ascii="Arial" w:hAnsi="Arial" w:cs="Arial"/>
              </w:rPr>
              <w:t> </w:t>
            </w:r>
          </w:p>
        </w:tc>
        <w:tc>
          <w:tcPr>
            <w:tcW w:w="9755" w:type="dxa"/>
            <w:gridSpan w:val="2"/>
            <w:shd w:val="clear" w:color="auto" w:fill="FFFFFF"/>
          </w:tcPr>
          <w:p w:rsidR="008703D5" w:rsidRPr="008703D5" w:rsidRDefault="008703D5" w:rsidP="008703D5">
            <w:pPr>
              <w:pStyle w:val="Prrafodelista"/>
              <w:numPr>
                <w:ilvl w:val="0"/>
                <w:numId w:val="1"/>
              </w:numPr>
              <w:spacing w:before="300" w:after="100" w:afterAutospacing="1" w:line="336" w:lineRule="auto"/>
              <w:jc w:val="both"/>
              <w:rPr>
                <w:rFonts w:ascii="Century Gothic" w:hAnsi="Century Gothic"/>
                <w:color w:val="4F2D7F"/>
                <w:sz w:val="20"/>
                <w:szCs w:val="20"/>
              </w:rPr>
            </w:pPr>
            <w:r>
              <w:rPr>
                <w:rFonts w:ascii="Century Gothic" w:hAnsi="Century Gothic"/>
                <w:color w:val="4F2D7F"/>
                <w:sz w:val="20"/>
                <w:szCs w:val="20"/>
              </w:rPr>
              <w:t xml:space="preserve">A pesar del aumento de rentabilidad empresarial esperada, los beneficios y salarios continuarán dispares durante este año </w:t>
            </w:r>
          </w:p>
          <w:p w:rsidR="008703D5" w:rsidRDefault="008703D5" w:rsidP="008703D5">
            <w:pPr>
              <w:jc w:val="both"/>
              <w:rPr>
                <w:rFonts w:ascii="Verdana" w:hAnsi="Verdana"/>
                <w:sz w:val="18"/>
                <w:szCs w:val="18"/>
              </w:rPr>
            </w:pPr>
          </w:p>
          <w:p w:rsidR="008703D5" w:rsidRPr="008703D5" w:rsidRDefault="00214585" w:rsidP="008703D5">
            <w:pPr>
              <w:spacing w:line="360" w:lineRule="auto"/>
              <w:jc w:val="both"/>
              <w:rPr>
                <w:rFonts w:ascii="Verdana" w:hAnsi="Verdana"/>
                <w:b/>
                <w:i/>
                <w:sz w:val="18"/>
                <w:szCs w:val="18"/>
              </w:rPr>
            </w:pPr>
            <w:r>
              <w:rPr>
                <w:rFonts w:ascii="Verdana" w:hAnsi="Verdana"/>
                <w:b/>
                <w:i/>
                <w:sz w:val="18"/>
                <w:szCs w:val="18"/>
              </w:rPr>
              <w:t>Madrid, 17</w:t>
            </w:r>
            <w:r w:rsidR="008703D5" w:rsidRPr="008703D5">
              <w:rPr>
                <w:rFonts w:ascii="Verdana" w:hAnsi="Verdana"/>
                <w:b/>
                <w:i/>
                <w:sz w:val="18"/>
                <w:szCs w:val="18"/>
              </w:rPr>
              <w:t xml:space="preserve"> de abril de 2017</w:t>
            </w:r>
          </w:p>
          <w:p w:rsidR="008703D5" w:rsidRPr="001B408F" w:rsidRDefault="008703D5" w:rsidP="008703D5">
            <w:pPr>
              <w:spacing w:line="360" w:lineRule="auto"/>
              <w:jc w:val="both"/>
              <w:rPr>
                <w:rFonts w:ascii="Verdana" w:hAnsi="Verdana"/>
                <w:sz w:val="18"/>
                <w:szCs w:val="18"/>
              </w:rPr>
            </w:pPr>
          </w:p>
          <w:p w:rsidR="008703D5" w:rsidRDefault="008703D5" w:rsidP="008703D5">
            <w:pPr>
              <w:spacing w:line="360" w:lineRule="auto"/>
              <w:jc w:val="both"/>
              <w:rPr>
                <w:rFonts w:ascii="Verdana" w:hAnsi="Verdana"/>
                <w:sz w:val="20"/>
                <w:szCs w:val="20"/>
              </w:rPr>
            </w:pPr>
            <w:r>
              <w:rPr>
                <w:rFonts w:ascii="Verdana" w:hAnsi="Verdana"/>
                <w:sz w:val="20"/>
                <w:szCs w:val="20"/>
              </w:rPr>
              <w:t xml:space="preserve">Tan sólo un 20% de empresas en el mundo tiene previsto aumentar los salarios de sus trabajadores por encima de las tasas de inflación, según los datos del último informe de Grant Thornton </w:t>
            </w:r>
            <w:hyperlink r:id="rId8" w:history="1">
              <w:r w:rsidRPr="008703D5">
                <w:rPr>
                  <w:rStyle w:val="Hipervnculo"/>
                  <w:rFonts w:ascii="Verdana" w:hAnsi="Verdana"/>
                  <w:sz w:val="20"/>
                  <w:szCs w:val="20"/>
                </w:rPr>
                <w:t>“</w:t>
              </w:r>
              <w:r w:rsidRPr="008703D5">
                <w:rPr>
                  <w:rStyle w:val="Hipervnculo"/>
                  <w:rFonts w:ascii="Verdana" w:hAnsi="Verdana"/>
                  <w:b/>
                  <w:sz w:val="20"/>
                  <w:szCs w:val="20"/>
                </w:rPr>
                <w:t>La economía mundial en 2017: más allá de la incertidumbre”</w:t>
              </w:r>
              <w:r w:rsidRPr="008703D5">
                <w:rPr>
                  <w:rStyle w:val="Hipervnculo"/>
                  <w:rFonts w:ascii="Verdana" w:hAnsi="Verdana"/>
                  <w:sz w:val="20"/>
                  <w:szCs w:val="20"/>
                </w:rPr>
                <w:t>,</w:t>
              </w:r>
            </w:hyperlink>
            <w:r>
              <w:rPr>
                <w:rFonts w:ascii="Verdana" w:hAnsi="Verdana"/>
                <w:sz w:val="20"/>
                <w:szCs w:val="20"/>
              </w:rPr>
              <w:t xml:space="preserve"> que recoge la opinión de 2.600 altos ejecutivos a escala global. Aunque la  mitad de las empresas encuestadas en este nuevo estudio afirman que obtendrán mayores niveles de ingresos y cuatro de diez esperan una mayor rentabilidad en 2017, sólo de 2 de cada 10 prevén subir sueldos. Este dato ha aumentado moderadamente desde mediados de 2015, pero no avanza al ritmo al que las empresas prevén que crezcan sus beneficios.</w:t>
            </w:r>
          </w:p>
          <w:p w:rsidR="008703D5" w:rsidRDefault="008703D5" w:rsidP="008703D5">
            <w:pPr>
              <w:spacing w:line="360" w:lineRule="auto"/>
              <w:jc w:val="both"/>
              <w:rPr>
                <w:rFonts w:ascii="Verdana" w:hAnsi="Verdana"/>
                <w:sz w:val="20"/>
                <w:szCs w:val="20"/>
              </w:rPr>
            </w:pPr>
          </w:p>
          <w:p w:rsidR="008703D5" w:rsidRDefault="00954990" w:rsidP="008703D5">
            <w:pPr>
              <w:spacing w:line="360" w:lineRule="auto"/>
              <w:jc w:val="both"/>
              <w:rPr>
                <w:rFonts w:ascii="Verdana" w:hAnsi="Verdana"/>
                <w:sz w:val="20"/>
                <w:szCs w:val="20"/>
              </w:rPr>
            </w:pPr>
            <w:r>
              <w:rPr>
                <w:rFonts w:ascii="Verdana" w:hAnsi="Verdana"/>
                <w:sz w:val="20"/>
                <w:szCs w:val="20"/>
              </w:rPr>
              <w:t>Numerosos analistas apuntan a</w:t>
            </w:r>
            <w:r w:rsidR="008703D5">
              <w:rPr>
                <w:rFonts w:ascii="Verdana" w:hAnsi="Verdana"/>
                <w:sz w:val="20"/>
                <w:szCs w:val="20"/>
              </w:rPr>
              <w:t xml:space="preserve">l creciente malestar entre los trabajadores por la disparidad entre los beneficios empresariales y los salarios como un factor del resultado del referéndum sobre la permanencia del Reino Unido en la Unión Europea. Ante las nuevas citas con las urnas previstas para este año en Francia y Alemania, </w:t>
            </w:r>
            <w:r w:rsidR="008703D5" w:rsidRPr="008703D5">
              <w:rPr>
                <w:rFonts w:ascii="Verdana" w:hAnsi="Verdana"/>
                <w:b/>
                <w:sz w:val="20"/>
                <w:szCs w:val="20"/>
              </w:rPr>
              <w:t>el descontento con la desigualdad de ingresos podría desencadenar nuevos reveses políticos</w:t>
            </w:r>
            <w:r w:rsidR="008703D5">
              <w:rPr>
                <w:rFonts w:ascii="Verdana" w:hAnsi="Verdana"/>
                <w:sz w:val="20"/>
                <w:szCs w:val="20"/>
              </w:rPr>
              <w:t xml:space="preserve">, en particular, en países donde los niveles de desempleo ya son elevados. </w:t>
            </w:r>
          </w:p>
          <w:p w:rsidR="008703D5" w:rsidRDefault="008703D5" w:rsidP="008703D5">
            <w:pPr>
              <w:spacing w:line="360" w:lineRule="auto"/>
              <w:jc w:val="both"/>
              <w:rPr>
                <w:rFonts w:ascii="Verdana" w:hAnsi="Verdana"/>
                <w:sz w:val="20"/>
                <w:szCs w:val="20"/>
              </w:rPr>
            </w:pPr>
          </w:p>
          <w:p w:rsidR="008703D5" w:rsidRDefault="008703D5" w:rsidP="008703D5">
            <w:pPr>
              <w:spacing w:line="360" w:lineRule="auto"/>
              <w:jc w:val="both"/>
              <w:rPr>
                <w:rFonts w:ascii="Verdana" w:hAnsi="Verdana"/>
                <w:sz w:val="20"/>
                <w:szCs w:val="20"/>
              </w:rPr>
            </w:pPr>
            <w:r>
              <w:rPr>
                <w:rFonts w:ascii="Verdana" w:hAnsi="Verdana"/>
                <w:sz w:val="20"/>
                <w:szCs w:val="20"/>
              </w:rPr>
              <w:t xml:space="preserve">“Las empresas deben ser precavidas ante la percepción de que los salarios ajustados por inflación que pagan a sus trabajadores no aumentan en consonancia con la productividad. Aparte de la agitación política que esta percepción puede ocasionar, las empresas deben asumir el daño que puede imprimir en su reputación que sus trabajadores no se sientan adecuadamente retribuidos”, </w:t>
            </w:r>
            <w:r>
              <w:rPr>
                <w:rFonts w:ascii="Verdana" w:hAnsi="Verdana"/>
                <w:sz w:val="20"/>
                <w:szCs w:val="20"/>
              </w:rPr>
              <w:lastRenderedPageBreak/>
              <w:t xml:space="preserve">comenta </w:t>
            </w:r>
            <w:r w:rsidRPr="00D75860">
              <w:rPr>
                <w:rFonts w:ascii="Verdana" w:hAnsi="Verdana"/>
                <w:b/>
                <w:sz w:val="20"/>
                <w:szCs w:val="20"/>
              </w:rPr>
              <w:t xml:space="preserve">Álvaro Sanmartín, </w:t>
            </w:r>
            <w:proofErr w:type="spellStart"/>
            <w:r w:rsidRPr="00D75860">
              <w:rPr>
                <w:rFonts w:ascii="Verdana" w:hAnsi="Verdana"/>
                <w:b/>
                <w:sz w:val="20"/>
                <w:szCs w:val="20"/>
              </w:rPr>
              <w:t>Chief</w:t>
            </w:r>
            <w:proofErr w:type="spellEnd"/>
            <w:r w:rsidRPr="00D75860">
              <w:rPr>
                <w:rFonts w:ascii="Verdana" w:hAnsi="Verdana"/>
                <w:b/>
                <w:sz w:val="20"/>
                <w:szCs w:val="20"/>
              </w:rPr>
              <w:t xml:space="preserve"> </w:t>
            </w:r>
            <w:proofErr w:type="spellStart"/>
            <w:r w:rsidRPr="00D75860">
              <w:rPr>
                <w:rFonts w:ascii="Verdana" w:hAnsi="Verdana"/>
                <w:b/>
                <w:sz w:val="20"/>
                <w:szCs w:val="20"/>
              </w:rPr>
              <w:t>Economist</w:t>
            </w:r>
            <w:proofErr w:type="spellEnd"/>
            <w:r w:rsidRPr="00D75860">
              <w:rPr>
                <w:rFonts w:ascii="Verdana" w:hAnsi="Verdana"/>
                <w:b/>
                <w:sz w:val="20"/>
                <w:szCs w:val="20"/>
              </w:rPr>
              <w:t xml:space="preserve"> de Grant Thornton y Asesor del Fondo Alinea Global</w:t>
            </w:r>
            <w:r>
              <w:rPr>
                <w:rFonts w:ascii="Verdana" w:hAnsi="Verdana"/>
                <w:sz w:val="20"/>
                <w:szCs w:val="20"/>
              </w:rPr>
              <w:t xml:space="preserve">. </w:t>
            </w:r>
          </w:p>
          <w:p w:rsidR="008703D5" w:rsidRDefault="008703D5" w:rsidP="008703D5">
            <w:pPr>
              <w:spacing w:line="360" w:lineRule="auto"/>
              <w:jc w:val="both"/>
              <w:rPr>
                <w:rFonts w:ascii="Verdana" w:hAnsi="Verdana"/>
                <w:sz w:val="20"/>
                <w:szCs w:val="20"/>
              </w:rPr>
            </w:pPr>
          </w:p>
          <w:p w:rsidR="008703D5" w:rsidRDefault="008703D5" w:rsidP="008703D5">
            <w:pPr>
              <w:spacing w:line="360" w:lineRule="auto"/>
              <w:jc w:val="both"/>
              <w:rPr>
                <w:rFonts w:ascii="Verdana" w:hAnsi="Verdana"/>
                <w:b/>
                <w:sz w:val="20"/>
                <w:szCs w:val="20"/>
              </w:rPr>
            </w:pPr>
            <w:r w:rsidRPr="00250B69">
              <w:rPr>
                <w:rFonts w:ascii="Verdana" w:hAnsi="Verdana"/>
                <w:b/>
                <w:sz w:val="20"/>
                <w:szCs w:val="20"/>
              </w:rPr>
              <w:t>A mayores rentabilidades, mayores expectativas</w:t>
            </w:r>
          </w:p>
          <w:p w:rsidR="008703D5" w:rsidRPr="00250B69" w:rsidRDefault="008703D5" w:rsidP="008703D5">
            <w:pPr>
              <w:spacing w:line="360" w:lineRule="auto"/>
              <w:jc w:val="both"/>
              <w:rPr>
                <w:rFonts w:ascii="Verdana" w:hAnsi="Verdana"/>
                <w:b/>
                <w:sz w:val="20"/>
                <w:szCs w:val="20"/>
              </w:rPr>
            </w:pPr>
          </w:p>
          <w:p w:rsidR="008703D5" w:rsidRDefault="008703D5" w:rsidP="008703D5">
            <w:pPr>
              <w:spacing w:line="360" w:lineRule="auto"/>
              <w:jc w:val="both"/>
              <w:rPr>
                <w:rFonts w:ascii="Verdana" w:hAnsi="Verdana"/>
                <w:sz w:val="20"/>
                <w:szCs w:val="20"/>
              </w:rPr>
            </w:pPr>
            <w:r>
              <w:rPr>
                <w:rFonts w:ascii="Verdana" w:hAnsi="Verdana"/>
                <w:sz w:val="20"/>
                <w:szCs w:val="20"/>
              </w:rPr>
              <w:t>Estas disonancias en los salarios de los trabajadores se producen en un momento en el que los líderes empresariales de todo el mundo se muestran más positivos ante la marcha de sus negocios en los próximos trimestres. Esta nueva mentalidad es especialmente visible en las empresas de los principales bloques económ</w:t>
            </w:r>
            <w:r w:rsidR="00954990">
              <w:rPr>
                <w:rFonts w:ascii="Verdana" w:hAnsi="Verdana"/>
                <w:sz w:val="20"/>
                <w:szCs w:val="20"/>
              </w:rPr>
              <w:t xml:space="preserve">icos, incluidos EE.U.U y China, según recoge el análisis por zonas geográficas del nuevo informe. </w:t>
            </w:r>
          </w:p>
          <w:p w:rsidR="008703D5" w:rsidRDefault="008703D5" w:rsidP="008703D5">
            <w:pPr>
              <w:spacing w:line="360" w:lineRule="auto"/>
              <w:jc w:val="both"/>
              <w:rPr>
                <w:rFonts w:ascii="Verdana" w:hAnsi="Verdana"/>
                <w:sz w:val="20"/>
                <w:szCs w:val="20"/>
              </w:rPr>
            </w:pPr>
          </w:p>
          <w:p w:rsidR="008703D5" w:rsidRDefault="008703D5" w:rsidP="008703D5">
            <w:pPr>
              <w:spacing w:line="360" w:lineRule="auto"/>
              <w:jc w:val="both"/>
              <w:rPr>
                <w:rFonts w:ascii="Verdana" w:hAnsi="Verdana"/>
                <w:sz w:val="20"/>
                <w:szCs w:val="20"/>
              </w:rPr>
            </w:pPr>
            <w:r w:rsidRPr="008703D5">
              <w:rPr>
                <w:rFonts w:ascii="Verdana" w:hAnsi="Verdana"/>
                <w:sz w:val="20"/>
                <w:szCs w:val="20"/>
              </w:rPr>
              <w:t xml:space="preserve">En España, los agentes sociales están intentando rediseñar un política de rentas para que las compañías que puedan permitírselo eleven sus salarios </w:t>
            </w:r>
            <w:r>
              <w:rPr>
                <w:rFonts w:ascii="Verdana" w:hAnsi="Verdana"/>
                <w:sz w:val="20"/>
                <w:szCs w:val="20"/>
              </w:rPr>
              <w:t>y, de este modo, aumente la capacidad adquisitiva de sus empleados. “Ofrecer niveles salariales adecuados y orientados a la productividad  es un ejemplo de cómo las empresas pueden mejorar su reputación. Desde el punto de vista comercial, las empresas podrían además enfrentarse a la posibilidad de perder talento si la competencia logra atraer a los trabajadores cualificados ofreciéndoles salarios o participaciones en beneficios más altos. A medida que aumente en todo el mundo el optimismo y las expectativas de ingresos y rentabilidad, también avanzarán las expectativas de los trabajadores de percibir aumentos salariales que reflejen no sólo el aumento de precios sino también el crecimien</w:t>
            </w:r>
            <w:r w:rsidR="00954990">
              <w:rPr>
                <w:rFonts w:ascii="Verdana" w:hAnsi="Verdana"/>
                <w:sz w:val="20"/>
                <w:szCs w:val="20"/>
              </w:rPr>
              <w:t>to esperado de la productividad”,</w:t>
            </w:r>
            <w:bookmarkStart w:id="0" w:name="_GoBack"/>
            <w:bookmarkEnd w:id="0"/>
            <w:r>
              <w:rPr>
                <w:rFonts w:ascii="Verdana" w:hAnsi="Verdana"/>
                <w:sz w:val="20"/>
                <w:szCs w:val="20"/>
              </w:rPr>
              <w:t xml:space="preserve"> concluye </w:t>
            </w:r>
            <w:r w:rsidRPr="008703D5">
              <w:rPr>
                <w:rFonts w:ascii="Verdana" w:hAnsi="Verdana"/>
                <w:b/>
                <w:sz w:val="20"/>
                <w:szCs w:val="20"/>
              </w:rPr>
              <w:t xml:space="preserve">Álvaro Sanmartín, </w:t>
            </w:r>
            <w:proofErr w:type="spellStart"/>
            <w:r w:rsidRPr="008703D5">
              <w:rPr>
                <w:rFonts w:ascii="Verdana" w:hAnsi="Verdana"/>
                <w:b/>
                <w:sz w:val="20"/>
                <w:szCs w:val="20"/>
              </w:rPr>
              <w:t>Chief</w:t>
            </w:r>
            <w:proofErr w:type="spellEnd"/>
            <w:r w:rsidRPr="008703D5">
              <w:rPr>
                <w:rFonts w:ascii="Verdana" w:hAnsi="Verdana"/>
                <w:b/>
                <w:sz w:val="20"/>
                <w:szCs w:val="20"/>
              </w:rPr>
              <w:t xml:space="preserve"> </w:t>
            </w:r>
            <w:proofErr w:type="spellStart"/>
            <w:r w:rsidRPr="008703D5">
              <w:rPr>
                <w:rFonts w:ascii="Verdana" w:hAnsi="Verdana"/>
                <w:b/>
                <w:sz w:val="20"/>
                <w:szCs w:val="20"/>
              </w:rPr>
              <w:t>Economist</w:t>
            </w:r>
            <w:proofErr w:type="spellEnd"/>
            <w:r w:rsidRPr="008703D5">
              <w:rPr>
                <w:rFonts w:ascii="Verdana" w:hAnsi="Verdana"/>
                <w:b/>
                <w:sz w:val="20"/>
                <w:szCs w:val="20"/>
              </w:rPr>
              <w:t xml:space="preserve"> de Grant Thornton y Asesor del Fondo Alinea Global</w:t>
            </w:r>
            <w:r>
              <w:rPr>
                <w:rFonts w:ascii="Verdana" w:hAnsi="Verdana"/>
                <w:sz w:val="20"/>
                <w:szCs w:val="20"/>
              </w:rPr>
              <w:t xml:space="preserve">. </w:t>
            </w:r>
          </w:p>
          <w:p w:rsidR="00C75BF8" w:rsidRDefault="00C75BF8">
            <w:pPr>
              <w:spacing w:after="120"/>
              <w:jc w:val="both"/>
              <w:rPr>
                <w:rFonts w:ascii="Arial" w:hAnsi="Arial" w:cs="Arial"/>
                <w:b/>
                <w:bCs/>
                <w:color w:val="000000"/>
                <w:sz w:val="20"/>
                <w:szCs w:val="20"/>
              </w:rPr>
            </w:pPr>
          </w:p>
          <w:p w:rsidR="00C75BF8" w:rsidRDefault="00C75BF8">
            <w:pPr>
              <w:jc w:val="both"/>
              <w:rPr>
                <w:rFonts w:ascii="Arial" w:hAnsi="Arial" w:cs="Arial"/>
                <w:sz w:val="20"/>
                <w:szCs w:val="20"/>
              </w:rPr>
            </w:pPr>
          </w:p>
          <w:p w:rsidR="00C75BF8" w:rsidRDefault="00C75BF8">
            <w:pPr>
              <w:jc w:val="both"/>
              <w:rPr>
                <w:rFonts w:ascii="Arial" w:hAnsi="Arial" w:cs="Arial"/>
                <w:sz w:val="20"/>
                <w:szCs w:val="20"/>
              </w:rPr>
            </w:pPr>
            <w:r>
              <w:rPr>
                <w:noProof/>
              </w:rPr>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6200775" cy="19050"/>
                  <wp:effectExtent l="0" t="0" r="9525" b="0"/>
                  <wp:wrapNone/>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ector recto 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0775" cy="19050"/>
                          </a:xfrm>
                          <a:prstGeom prst="rect">
                            <a:avLst/>
                          </a:prstGeom>
                          <a:noFill/>
                        </pic:spPr>
                      </pic:pic>
                    </a:graphicData>
                  </a:graphic>
                  <wp14:sizeRelH relativeFrom="page">
                    <wp14:pctWidth>0</wp14:pctWidth>
                  </wp14:sizeRelH>
                  <wp14:sizeRelV relativeFrom="page">
                    <wp14:pctHeight>0</wp14:pctHeight>
                  </wp14:sizeRelV>
                </wp:anchor>
              </w:drawing>
            </w:r>
          </w:p>
          <w:p w:rsidR="00C75BF8" w:rsidRDefault="00C75BF8">
            <w:pPr>
              <w:jc w:val="both"/>
              <w:rPr>
                <w:rFonts w:ascii="Arial" w:hAnsi="Arial" w:cs="Arial"/>
                <w:b/>
                <w:bCs/>
                <w:sz w:val="20"/>
                <w:szCs w:val="20"/>
              </w:rPr>
            </w:pPr>
            <w:r>
              <w:rPr>
                <w:rFonts w:ascii="Arial" w:hAnsi="Arial" w:cs="Arial"/>
                <w:b/>
                <w:bCs/>
                <w:sz w:val="20"/>
                <w:szCs w:val="20"/>
              </w:rPr>
              <w:t>Características del estudio</w:t>
            </w:r>
          </w:p>
          <w:p w:rsidR="00C75BF8" w:rsidRDefault="00C75BF8">
            <w:pPr>
              <w:autoSpaceDE w:val="0"/>
              <w:rPr>
                <w:rFonts w:ascii="Arial" w:hAnsi="Arial" w:cs="Arial"/>
                <w:sz w:val="20"/>
                <w:szCs w:val="20"/>
              </w:rPr>
            </w:pPr>
            <w:r>
              <w:rPr>
                <w:rFonts w:ascii="Arial" w:hAnsi="Arial" w:cs="Arial"/>
                <w:sz w:val="20"/>
                <w:szCs w:val="20"/>
              </w:rPr>
              <w:t xml:space="preserve">Este informe es parte del International Business </w:t>
            </w:r>
            <w:proofErr w:type="spellStart"/>
            <w:r>
              <w:rPr>
                <w:rFonts w:ascii="Arial" w:hAnsi="Arial" w:cs="Arial"/>
                <w:sz w:val="20"/>
                <w:szCs w:val="20"/>
              </w:rPr>
              <w:t>Report</w:t>
            </w:r>
            <w:proofErr w:type="spellEnd"/>
            <w:r>
              <w:rPr>
                <w:rFonts w:ascii="Arial" w:hAnsi="Arial" w:cs="Arial"/>
                <w:sz w:val="20"/>
                <w:szCs w:val="20"/>
              </w:rPr>
              <w:t xml:space="preserve"> (IBR), estudio que Grant Thornton realiza desde 1992 para conocer las tendencias, percepciones, decisiones y expectativas de las empresas de cara al corto y medio plazo. Los 37 países incluidos en el estudio representan más del 80% de la economía mundial. Por esto, a lo largo de sus 22 años, el IBR ha demostrado ser un barómetro que permite prever los cambios y tendencias de la economía mundial y los mercados locales a medio plazo. </w:t>
            </w:r>
          </w:p>
          <w:p w:rsidR="00C75BF8" w:rsidRDefault="00C75BF8" w:rsidP="009636CF">
            <w:pPr>
              <w:numPr>
                <w:ilvl w:val="0"/>
                <w:numId w:val="2"/>
              </w:numPr>
              <w:autoSpaceDE w:val="0"/>
              <w:rPr>
                <w:rFonts w:ascii="Arial" w:hAnsi="Arial" w:cs="Arial"/>
                <w:sz w:val="20"/>
                <w:szCs w:val="20"/>
              </w:rPr>
            </w:pPr>
            <w:r>
              <w:rPr>
                <w:rFonts w:ascii="Arial" w:hAnsi="Arial" w:cs="Arial"/>
                <w:sz w:val="20"/>
                <w:szCs w:val="20"/>
              </w:rPr>
              <w:t>Universo: Empresas de todos los sectores económicos, de tamaño medio-grande (en el caso de España entre 100 y 500 empleados).</w:t>
            </w:r>
          </w:p>
          <w:p w:rsidR="00C75BF8" w:rsidRDefault="00C75BF8" w:rsidP="009636CF">
            <w:pPr>
              <w:numPr>
                <w:ilvl w:val="0"/>
                <w:numId w:val="2"/>
              </w:numPr>
              <w:autoSpaceDE w:val="0"/>
              <w:rPr>
                <w:rFonts w:ascii="Arial" w:hAnsi="Arial" w:cs="Arial"/>
                <w:sz w:val="20"/>
                <w:szCs w:val="20"/>
              </w:rPr>
            </w:pPr>
            <w:r>
              <w:rPr>
                <w:rFonts w:ascii="Arial" w:hAnsi="Arial" w:cs="Arial"/>
                <w:sz w:val="20"/>
                <w:szCs w:val="20"/>
              </w:rPr>
              <w:t>Muestra: Más de 10.000 entrevistas anuales a la alta dirección: Presidente, CEO, Director General, u otro alto directivo. 400 de ellas en España.</w:t>
            </w:r>
          </w:p>
          <w:p w:rsidR="00C75BF8" w:rsidRDefault="00C75BF8" w:rsidP="009636CF">
            <w:pPr>
              <w:numPr>
                <w:ilvl w:val="0"/>
                <w:numId w:val="2"/>
              </w:numPr>
              <w:autoSpaceDE w:val="0"/>
              <w:rPr>
                <w:rFonts w:ascii="Arial" w:hAnsi="Arial" w:cs="Arial"/>
                <w:sz w:val="20"/>
                <w:szCs w:val="20"/>
              </w:rPr>
            </w:pPr>
            <w:r>
              <w:rPr>
                <w:rFonts w:ascii="Arial" w:hAnsi="Arial" w:cs="Arial"/>
                <w:sz w:val="20"/>
                <w:szCs w:val="20"/>
              </w:rPr>
              <w:t xml:space="preserve">Trabajo de campo: Entrevistas telefónicas trimestrales realizadas en España por Análisis e Investigación y coordinadas mundialmente por </w:t>
            </w:r>
            <w:proofErr w:type="spellStart"/>
            <w:r>
              <w:rPr>
                <w:rFonts w:ascii="Arial" w:hAnsi="Arial" w:cs="Arial"/>
                <w:sz w:val="20"/>
                <w:szCs w:val="20"/>
              </w:rPr>
              <w:t>Millward</w:t>
            </w:r>
            <w:proofErr w:type="spellEnd"/>
            <w:r>
              <w:rPr>
                <w:rFonts w:ascii="Arial" w:hAnsi="Arial" w:cs="Arial"/>
                <w:sz w:val="20"/>
                <w:szCs w:val="20"/>
              </w:rPr>
              <w:t xml:space="preserve"> Brown. </w:t>
            </w:r>
          </w:p>
          <w:p w:rsidR="00C75BF8" w:rsidRDefault="00C75BF8">
            <w:pPr>
              <w:autoSpaceDE w:val="0"/>
              <w:rPr>
                <w:rFonts w:ascii="Arial" w:hAnsi="Arial" w:cs="Arial"/>
                <w:sz w:val="20"/>
                <w:szCs w:val="20"/>
              </w:rPr>
            </w:pPr>
          </w:p>
          <w:p w:rsidR="00C75BF8" w:rsidRDefault="00C75BF8">
            <w:pPr>
              <w:autoSpaceDE w:val="0"/>
              <w:rPr>
                <w:rFonts w:ascii="Arial" w:hAnsi="Arial" w:cs="Arial"/>
                <w:sz w:val="20"/>
                <w:szCs w:val="20"/>
              </w:rPr>
            </w:pPr>
            <w:r>
              <w:rPr>
                <w:rFonts w:ascii="Arial" w:hAnsi="Arial" w:cs="Arial"/>
                <w:sz w:val="20"/>
                <w:szCs w:val="20"/>
              </w:rPr>
              <w:t>Para la elaboración de este estudio del IBR se entrevistó a</w:t>
            </w:r>
            <w:r w:rsidR="008703D5">
              <w:rPr>
                <w:rFonts w:ascii="Arial" w:hAnsi="Arial" w:cs="Arial"/>
                <w:sz w:val="20"/>
                <w:szCs w:val="20"/>
              </w:rPr>
              <w:t xml:space="preserve"> 2.600</w:t>
            </w:r>
            <w:r>
              <w:rPr>
                <w:rFonts w:ascii="Arial" w:hAnsi="Arial" w:cs="Arial"/>
                <w:sz w:val="20"/>
                <w:szCs w:val="20"/>
              </w:rPr>
              <w:t xml:space="preserve">altos directivos en 36 países durante segundo y tercer trimestre de 2016 (200 en España). </w:t>
            </w:r>
          </w:p>
          <w:p w:rsidR="00C75BF8" w:rsidRDefault="00C75BF8">
            <w:pPr>
              <w:jc w:val="both"/>
              <w:rPr>
                <w:rFonts w:ascii="Arial" w:hAnsi="Arial" w:cs="Arial"/>
                <w:sz w:val="20"/>
                <w:szCs w:val="20"/>
              </w:rPr>
            </w:pPr>
          </w:p>
          <w:p w:rsidR="00C75BF8" w:rsidRDefault="00C75BF8">
            <w:pPr>
              <w:jc w:val="both"/>
              <w:rPr>
                <w:rFonts w:ascii="Arial" w:hAnsi="Arial" w:cs="Arial"/>
                <w:sz w:val="20"/>
                <w:szCs w:val="20"/>
              </w:rPr>
            </w:pPr>
            <w:r>
              <w:rPr>
                <w:noProof/>
              </w:rPr>
              <w:drawing>
                <wp:anchor distT="0" distB="0" distL="114300" distR="114300" simplePos="0" relativeHeight="251660800" behindDoc="0" locked="0" layoutInCell="1" allowOverlap="1">
                  <wp:simplePos x="0" y="0"/>
                  <wp:positionH relativeFrom="column">
                    <wp:posOffset>19050</wp:posOffset>
                  </wp:positionH>
                  <wp:positionV relativeFrom="paragraph">
                    <wp:posOffset>57150</wp:posOffset>
                  </wp:positionV>
                  <wp:extent cx="6181725" cy="19050"/>
                  <wp:effectExtent l="0" t="0" r="9525" b="0"/>
                  <wp:wrapNone/>
                  <wp:docPr id="11"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ector recto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1725" cy="19050"/>
                          </a:xfrm>
                          <a:prstGeom prst="rect">
                            <a:avLst/>
                          </a:prstGeom>
                          <a:noFill/>
                        </pic:spPr>
                      </pic:pic>
                    </a:graphicData>
                  </a:graphic>
                  <wp14:sizeRelH relativeFrom="page">
                    <wp14:pctWidth>0</wp14:pctWidth>
                  </wp14:sizeRelH>
                  <wp14:sizeRelV relativeFrom="page">
                    <wp14:pctHeight>0</wp14:pctHeight>
                  </wp14:sizeRelV>
                </wp:anchor>
              </w:drawing>
            </w:r>
          </w:p>
          <w:p w:rsidR="00C75BF8" w:rsidRDefault="00C75BF8" w:rsidP="008703D5">
            <w:pPr>
              <w:rPr>
                <w:rFonts w:ascii="Arial" w:hAnsi="Arial" w:cs="Arial"/>
                <w:sz w:val="20"/>
                <w:szCs w:val="20"/>
              </w:rPr>
            </w:pPr>
            <w:r>
              <w:rPr>
                <w:rFonts w:ascii="Arial" w:hAnsi="Arial" w:cs="Arial"/>
                <w:b/>
                <w:bCs/>
                <w:sz w:val="20"/>
                <w:szCs w:val="20"/>
              </w:rPr>
              <w:t>Acerca de Grant Thornton</w:t>
            </w:r>
            <w:r>
              <w:rPr>
                <w:rFonts w:ascii="Arial" w:hAnsi="Arial" w:cs="Arial"/>
                <w:sz w:val="20"/>
                <w:szCs w:val="20"/>
              </w:rPr>
              <w:br/>
            </w:r>
            <w:r>
              <w:rPr>
                <w:rFonts w:ascii="Arial" w:hAnsi="Arial" w:cs="Arial"/>
                <w:sz w:val="20"/>
                <w:szCs w:val="20"/>
              </w:rPr>
              <w:br/>
              <w:t xml:space="preserve">Grant Thornton es una firma de servicios de auditoría, consultoría y asesoramiento legal y financiero. Pertenecemos a una de las organizaciones mundiales líderes en servicios profesionales, con más de 47.000 profesionales presentes en más de 130 países. En España contamos con un equipo </w:t>
            </w:r>
            <w:r w:rsidR="008703D5">
              <w:rPr>
                <w:rFonts w:ascii="Arial" w:hAnsi="Arial" w:cs="Arial"/>
                <w:sz w:val="20"/>
                <w:szCs w:val="20"/>
              </w:rPr>
              <w:t>de más de 900</w:t>
            </w:r>
            <w:r>
              <w:rPr>
                <w:rFonts w:ascii="Arial" w:hAnsi="Arial" w:cs="Arial"/>
                <w:sz w:val="20"/>
                <w:szCs w:val="20"/>
              </w:rPr>
              <w:t xml:space="preserve"> </w:t>
            </w:r>
            <w:r>
              <w:rPr>
                <w:rFonts w:ascii="Arial" w:hAnsi="Arial" w:cs="Arial"/>
                <w:sz w:val="20"/>
                <w:szCs w:val="20"/>
              </w:rPr>
              <w:lastRenderedPageBreak/>
              <w:t>profesionales multidisciplinar, transversal, con experiencia y visión empresarial, que da servicio a más de 3.500 clientes en 9 oficinas repartidas por el territorio nacional: Madrid, Barcelona, Bilbao, Castellón, Málaga, Murcia, Pamplona, Valencia y Zaragoza.</w:t>
            </w:r>
          </w:p>
        </w:tc>
        <w:tc>
          <w:tcPr>
            <w:tcW w:w="432" w:type="dxa"/>
            <w:shd w:val="clear" w:color="auto" w:fill="FFFFFF"/>
            <w:vAlign w:val="center"/>
            <w:hideMark/>
          </w:tcPr>
          <w:p w:rsidR="00C75BF8" w:rsidRDefault="00C75BF8">
            <w:pPr>
              <w:jc w:val="both"/>
              <w:rPr>
                <w:rFonts w:ascii="Arial" w:hAnsi="Arial" w:cs="Arial"/>
              </w:rPr>
            </w:pPr>
            <w:r>
              <w:rPr>
                <w:rFonts w:ascii="Arial" w:hAnsi="Arial" w:cs="Arial"/>
              </w:rPr>
              <w:lastRenderedPageBreak/>
              <w:t> </w:t>
            </w:r>
          </w:p>
        </w:tc>
      </w:tr>
      <w:tr w:rsidR="00C75BF8" w:rsidTr="00C75BF8">
        <w:trPr>
          <w:tblCellSpacing w:w="0" w:type="dxa"/>
          <w:jc w:val="center"/>
        </w:trPr>
        <w:tc>
          <w:tcPr>
            <w:tcW w:w="0" w:type="auto"/>
            <w:shd w:val="clear" w:color="auto" w:fill="FFFFFF"/>
            <w:vAlign w:val="center"/>
            <w:hideMark/>
          </w:tcPr>
          <w:p w:rsidR="00C75BF8" w:rsidRDefault="00C75BF8">
            <w:pPr>
              <w:jc w:val="both"/>
              <w:rPr>
                <w:rFonts w:ascii="Arial" w:hAnsi="Arial" w:cs="Arial"/>
              </w:rPr>
            </w:pPr>
            <w:r>
              <w:rPr>
                <w:rFonts w:ascii="Arial" w:hAnsi="Arial" w:cs="Arial"/>
              </w:rPr>
              <w:lastRenderedPageBreak/>
              <w:t> </w:t>
            </w:r>
          </w:p>
        </w:tc>
        <w:tc>
          <w:tcPr>
            <w:tcW w:w="9755" w:type="dxa"/>
            <w:gridSpan w:val="2"/>
            <w:shd w:val="clear" w:color="auto" w:fill="FFFFFF"/>
            <w:vAlign w:val="center"/>
            <w:hideMark/>
          </w:tcPr>
          <w:p w:rsidR="00C75BF8" w:rsidRDefault="00C75BF8">
            <w:pPr>
              <w:rPr>
                <w:rFonts w:ascii="Arial" w:hAnsi="Arial" w:cs="Arial"/>
              </w:rPr>
            </w:pPr>
          </w:p>
        </w:tc>
        <w:tc>
          <w:tcPr>
            <w:tcW w:w="432" w:type="dxa"/>
            <w:shd w:val="clear" w:color="auto" w:fill="FFFFFF"/>
            <w:vAlign w:val="center"/>
            <w:hideMark/>
          </w:tcPr>
          <w:p w:rsidR="00C75BF8" w:rsidRDefault="00C75BF8">
            <w:pPr>
              <w:rPr>
                <w:rFonts w:eastAsia="Times New Roman"/>
                <w:sz w:val="20"/>
                <w:szCs w:val="20"/>
              </w:rPr>
            </w:pPr>
          </w:p>
        </w:tc>
      </w:tr>
      <w:tr w:rsidR="00C75BF8" w:rsidTr="00C75BF8">
        <w:trPr>
          <w:tblCellSpacing w:w="0" w:type="dxa"/>
          <w:jc w:val="center"/>
        </w:trPr>
        <w:tc>
          <w:tcPr>
            <w:tcW w:w="0" w:type="auto"/>
            <w:shd w:val="clear" w:color="auto" w:fill="FFFFFF"/>
            <w:vAlign w:val="center"/>
            <w:hideMark/>
          </w:tcPr>
          <w:p w:rsidR="00C75BF8" w:rsidRDefault="00C75BF8">
            <w:pPr>
              <w:jc w:val="both"/>
              <w:rPr>
                <w:rFonts w:ascii="Arial" w:hAnsi="Arial" w:cs="Arial"/>
              </w:rPr>
            </w:pPr>
            <w:r>
              <w:rPr>
                <w:rFonts w:ascii="Arial" w:hAnsi="Arial" w:cs="Arial"/>
              </w:rPr>
              <w:t> </w:t>
            </w:r>
          </w:p>
        </w:tc>
        <w:tc>
          <w:tcPr>
            <w:tcW w:w="9755" w:type="dxa"/>
            <w:gridSpan w:val="2"/>
            <w:shd w:val="clear" w:color="auto" w:fill="FFFFFF"/>
            <w:vAlign w:val="center"/>
            <w:hideMark/>
          </w:tcPr>
          <w:p w:rsidR="00C75BF8" w:rsidRDefault="00C75BF8">
            <w:pPr>
              <w:jc w:val="both"/>
              <w:rPr>
                <w:rFonts w:ascii="Arial" w:hAnsi="Arial" w:cs="Arial"/>
              </w:rPr>
            </w:pPr>
            <w:r>
              <w:rPr>
                <w:rFonts w:ascii="Arial" w:hAnsi="Arial" w:cs="Arial"/>
              </w:rPr>
              <w:t> </w:t>
            </w:r>
          </w:p>
        </w:tc>
        <w:tc>
          <w:tcPr>
            <w:tcW w:w="432" w:type="dxa"/>
            <w:shd w:val="clear" w:color="auto" w:fill="FFFFFF"/>
            <w:vAlign w:val="center"/>
            <w:hideMark/>
          </w:tcPr>
          <w:p w:rsidR="00C75BF8" w:rsidRDefault="00C75BF8">
            <w:pPr>
              <w:jc w:val="both"/>
              <w:rPr>
                <w:rFonts w:ascii="Arial" w:hAnsi="Arial" w:cs="Arial"/>
              </w:rPr>
            </w:pPr>
            <w:r>
              <w:rPr>
                <w:rFonts w:ascii="Arial" w:hAnsi="Arial" w:cs="Arial"/>
              </w:rPr>
              <w:t> </w:t>
            </w:r>
          </w:p>
        </w:tc>
      </w:tr>
      <w:tr w:rsidR="00C75BF8" w:rsidTr="00C75BF8">
        <w:trPr>
          <w:tblCellSpacing w:w="0" w:type="dxa"/>
          <w:jc w:val="center"/>
        </w:trPr>
        <w:tc>
          <w:tcPr>
            <w:tcW w:w="0" w:type="auto"/>
            <w:shd w:val="clear" w:color="auto" w:fill="FFFFFF"/>
            <w:vAlign w:val="center"/>
            <w:hideMark/>
          </w:tcPr>
          <w:p w:rsidR="00C75BF8" w:rsidRDefault="00C75BF8">
            <w:pPr>
              <w:jc w:val="both"/>
              <w:rPr>
                <w:rFonts w:ascii="Arial" w:hAnsi="Arial" w:cs="Arial"/>
              </w:rPr>
            </w:pPr>
            <w:r>
              <w:rPr>
                <w:rFonts w:ascii="Arial" w:hAnsi="Arial" w:cs="Arial"/>
              </w:rPr>
              <w:t> </w:t>
            </w:r>
          </w:p>
        </w:tc>
        <w:tc>
          <w:tcPr>
            <w:tcW w:w="9755" w:type="dxa"/>
            <w:gridSpan w:val="2"/>
            <w:shd w:val="clear" w:color="auto" w:fill="FFFFFF"/>
            <w:vAlign w:val="center"/>
            <w:hideMark/>
          </w:tcPr>
          <w:p w:rsidR="00C75BF8" w:rsidRDefault="00C75BF8">
            <w:pPr>
              <w:spacing w:line="288" w:lineRule="auto"/>
              <w:jc w:val="both"/>
              <w:rPr>
                <w:rFonts w:ascii="Arial" w:hAnsi="Arial" w:cs="Arial"/>
                <w:sz w:val="20"/>
                <w:szCs w:val="20"/>
              </w:rPr>
            </w:pPr>
            <w:r>
              <w:rPr>
                <w:rFonts w:ascii="Arial" w:hAnsi="Arial" w:cs="Arial"/>
                <w:sz w:val="20"/>
                <w:szCs w:val="20"/>
              </w:rPr>
              <w:t> </w:t>
            </w:r>
          </w:p>
        </w:tc>
        <w:tc>
          <w:tcPr>
            <w:tcW w:w="432" w:type="dxa"/>
            <w:shd w:val="clear" w:color="auto" w:fill="FFFFFF"/>
            <w:vAlign w:val="center"/>
            <w:hideMark/>
          </w:tcPr>
          <w:p w:rsidR="00C75BF8" w:rsidRDefault="00C75BF8">
            <w:pPr>
              <w:jc w:val="both"/>
              <w:rPr>
                <w:rFonts w:ascii="Arial" w:hAnsi="Arial" w:cs="Arial"/>
              </w:rPr>
            </w:pPr>
            <w:r>
              <w:rPr>
                <w:rFonts w:ascii="Arial" w:hAnsi="Arial" w:cs="Arial"/>
              </w:rPr>
              <w:t> </w:t>
            </w:r>
          </w:p>
        </w:tc>
      </w:tr>
      <w:tr w:rsidR="00C75BF8" w:rsidTr="00C75BF8">
        <w:trPr>
          <w:tblCellSpacing w:w="0" w:type="dxa"/>
          <w:jc w:val="center"/>
        </w:trPr>
        <w:tc>
          <w:tcPr>
            <w:tcW w:w="0" w:type="auto"/>
            <w:shd w:val="clear" w:color="auto" w:fill="FFFFFF"/>
            <w:vAlign w:val="center"/>
            <w:hideMark/>
          </w:tcPr>
          <w:p w:rsidR="00C75BF8" w:rsidRDefault="00C75BF8">
            <w:pPr>
              <w:jc w:val="both"/>
              <w:rPr>
                <w:rFonts w:ascii="Arial" w:hAnsi="Arial" w:cs="Arial"/>
              </w:rPr>
            </w:pPr>
            <w:r>
              <w:rPr>
                <w:rFonts w:ascii="Arial" w:hAnsi="Arial" w:cs="Arial"/>
              </w:rPr>
              <w:t> </w:t>
            </w:r>
          </w:p>
        </w:tc>
        <w:tc>
          <w:tcPr>
            <w:tcW w:w="9755" w:type="dxa"/>
            <w:gridSpan w:val="2"/>
            <w:shd w:val="clear" w:color="auto" w:fill="FFFFFF"/>
            <w:hideMark/>
          </w:tcPr>
          <w:p w:rsidR="00C75BF8" w:rsidRDefault="00C75BF8" w:rsidP="00C75BF8">
            <w:pPr>
              <w:spacing w:line="270" w:lineRule="atLeast"/>
              <w:rPr>
                <w:rFonts w:ascii="Arial" w:hAnsi="Arial" w:cs="Arial"/>
                <w:sz w:val="20"/>
                <w:szCs w:val="20"/>
              </w:rPr>
            </w:pPr>
            <w:r>
              <w:rPr>
                <w:rFonts w:ascii="Arial" w:hAnsi="Arial" w:cs="Arial"/>
                <w:color w:val="4F2D7F"/>
                <w:sz w:val="20"/>
                <w:szCs w:val="20"/>
              </w:rPr>
              <w:t>DEPARTAMENTO DE COMUNICACIÓN</w:t>
            </w:r>
            <w:r>
              <w:rPr>
                <w:rFonts w:ascii="Arial" w:hAnsi="Arial" w:cs="Arial"/>
                <w:color w:val="4F2D7F"/>
                <w:sz w:val="20"/>
                <w:szCs w:val="20"/>
              </w:rPr>
              <w:br/>
              <w:t>GRANT THORNTON</w:t>
            </w:r>
            <w:r>
              <w:rPr>
                <w:rFonts w:ascii="Arial" w:hAnsi="Arial" w:cs="Arial"/>
                <w:sz w:val="20"/>
                <w:szCs w:val="20"/>
              </w:rPr>
              <w:t xml:space="preserve"> </w:t>
            </w:r>
            <w:r>
              <w:rPr>
                <w:rFonts w:ascii="Arial" w:hAnsi="Arial" w:cs="Arial"/>
                <w:sz w:val="20"/>
                <w:szCs w:val="20"/>
              </w:rPr>
              <w:br/>
            </w:r>
            <w:r>
              <w:rPr>
                <w:rStyle w:val="Textoennegrita"/>
                <w:rFonts w:ascii="Arial" w:hAnsi="Arial" w:cs="Arial"/>
                <w:sz w:val="20"/>
                <w:szCs w:val="20"/>
              </w:rPr>
              <w:t>Policarpo Aroca Oviedo</w:t>
            </w:r>
            <w:r>
              <w:rPr>
                <w:rFonts w:ascii="Arial" w:hAnsi="Arial" w:cs="Arial"/>
                <w:b/>
                <w:bCs/>
                <w:sz w:val="20"/>
                <w:szCs w:val="20"/>
              </w:rPr>
              <w:br/>
            </w:r>
            <w:r>
              <w:rPr>
                <w:rStyle w:val="Textoennegrita"/>
                <w:rFonts w:ascii="Arial" w:hAnsi="Arial" w:cs="Arial"/>
                <w:sz w:val="20"/>
                <w:szCs w:val="20"/>
              </w:rPr>
              <w:t>Gerente de Comunicación</w:t>
            </w:r>
            <w:r>
              <w:rPr>
                <w:rFonts w:ascii="Arial" w:hAnsi="Arial" w:cs="Arial"/>
                <w:sz w:val="20"/>
                <w:szCs w:val="20"/>
              </w:rPr>
              <w:br/>
              <w:t>José Abascal, 56 | 28003 Madrid | España</w:t>
            </w:r>
            <w:r>
              <w:rPr>
                <w:rFonts w:ascii="Arial" w:hAnsi="Arial" w:cs="Arial"/>
                <w:sz w:val="20"/>
                <w:szCs w:val="20"/>
              </w:rPr>
              <w:br/>
            </w:r>
            <w:r>
              <w:rPr>
                <w:rStyle w:val="Textoennegrita"/>
                <w:rFonts w:ascii="Arial" w:hAnsi="Arial" w:cs="Arial"/>
                <w:color w:val="4F2D7F"/>
                <w:sz w:val="20"/>
                <w:szCs w:val="20"/>
              </w:rPr>
              <w:t>T</w:t>
            </w:r>
            <w:r>
              <w:rPr>
                <w:rFonts w:ascii="Arial" w:hAnsi="Arial" w:cs="Arial"/>
                <w:sz w:val="20"/>
                <w:szCs w:val="20"/>
              </w:rPr>
              <w:t xml:space="preserve"> +34 91 399 32 90 </w:t>
            </w:r>
            <w:r>
              <w:rPr>
                <w:rStyle w:val="Textoennegrita"/>
                <w:rFonts w:ascii="Arial" w:hAnsi="Arial" w:cs="Arial"/>
                <w:color w:val="4F2D7F"/>
                <w:sz w:val="20"/>
                <w:szCs w:val="20"/>
              </w:rPr>
              <w:t>M</w:t>
            </w:r>
            <w:r>
              <w:rPr>
                <w:rFonts w:ascii="Arial" w:hAnsi="Arial" w:cs="Arial"/>
                <w:sz w:val="20"/>
                <w:szCs w:val="20"/>
              </w:rPr>
              <w:t xml:space="preserve"> +34 650 71 31 21</w:t>
            </w:r>
          </w:p>
        </w:tc>
        <w:tc>
          <w:tcPr>
            <w:tcW w:w="432" w:type="dxa"/>
            <w:shd w:val="clear" w:color="auto" w:fill="FFFFFF"/>
            <w:vAlign w:val="center"/>
            <w:hideMark/>
          </w:tcPr>
          <w:p w:rsidR="00C75BF8" w:rsidRDefault="00C75BF8">
            <w:pPr>
              <w:jc w:val="both"/>
              <w:rPr>
                <w:rFonts w:ascii="Arial" w:hAnsi="Arial" w:cs="Arial"/>
              </w:rPr>
            </w:pPr>
            <w:r>
              <w:rPr>
                <w:rFonts w:ascii="Arial" w:hAnsi="Arial" w:cs="Arial"/>
              </w:rPr>
              <w:t> </w:t>
            </w:r>
          </w:p>
        </w:tc>
      </w:tr>
      <w:tr w:rsidR="008703D5" w:rsidTr="00C75BF8">
        <w:trPr>
          <w:tblCellSpacing w:w="0" w:type="dxa"/>
          <w:jc w:val="center"/>
        </w:trPr>
        <w:tc>
          <w:tcPr>
            <w:tcW w:w="0" w:type="auto"/>
            <w:shd w:val="clear" w:color="auto" w:fill="FFFFFF"/>
            <w:vAlign w:val="center"/>
            <w:hideMark/>
          </w:tcPr>
          <w:p w:rsidR="00C75BF8" w:rsidRDefault="00C75BF8">
            <w:pPr>
              <w:jc w:val="both"/>
              <w:rPr>
                <w:rFonts w:ascii="Arial" w:hAnsi="Arial" w:cs="Arial"/>
              </w:rPr>
            </w:pPr>
            <w:r>
              <w:rPr>
                <w:rFonts w:ascii="Arial" w:hAnsi="Arial" w:cs="Arial"/>
              </w:rPr>
              <w:t> </w:t>
            </w:r>
          </w:p>
        </w:tc>
        <w:tc>
          <w:tcPr>
            <w:tcW w:w="3679" w:type="dxa"/>
            <w:shd w:val="clear" w:color="auto" w:fill="FFFFFF"/>
            <w:hideMark/>
          </w:tcPr>
          <w:p w:rsidR="00C75BF8" w:rsidRDefault="00954990">
            <w:pPr>
              <w:spacing w:line="270" w:lineRule="atLeast"/>
              <w:jc w:val="both"/>
              <w:rPr>
                <w:rFonts w:ascii="Arial" w:hAnsi="Arial" w:cs="Arial"/>
                <w:sz w:val="20"/>
                <w:szCs w:val="20"/>
              </w:rPr>
            </w:pPr>
            <w:hyperlink r:id="rId11" w:history="1">
              <w:r w:rsidR="00C75BF8">
                <w:rPr>
                  <w:rStyle w:val="Hipervnculo"/>
                  <w:rFonts w:ascii="Arial" w:hAnsi="Arial" w:cs="Arial"/>
                  <w:sz w:val="20"/>
                  <w:szCs w:val="20"/>
                </w:rPr>
                <w:t>Comunicacion@es.gt.com</w:t>
              </w:r>
            </w:hyperlink>
            <w:r w:rsidR="00C75BF8">
              <w:rPr>
                <w:rFonts w:ascii="Arial" w:hAnsi="Arial" w:cs="Arial"/>
                <w:sz w:val="20"/>
                <w:szCs w:val="20"/>
              </w:rPr>
              <w:br/>
            </w:r>
            <w:r w:rsidR="00C75BF8">
              <w:rPr>
                <w:rStyle w:val="Textoennegrita"/>
                <w:rFonts w:ascii="Arial" w:hAnsi="Arial" w:cs="Arial"/>
                <w:color w:val="4F2D7F"/>
                <w:sz w:val="20"/>
                <w:szCs w:val="20"/>
              </w:rPr>
              <w:t>Accede a nuestra Sala de Prensa</w:t>
            </w:r>
          </w:p>
        </w:tc>
        <w:tc>
          <w:tcPr>
            <w:tcW w:w="6076" w:type="dxa"/>
            <w:shd w:val="clear" w:color="auto" w:fill="FFFFFF"/>
            <w:vAlign w:val="bottom"/>
            <w:hideMark/>
          </w:tcPr>
          <w:p w:rsidR="00C75BF8" w:rsidRDefault="00C75BF8">
            <w:pPr>
              <w:spacing w:line="288" w:lineRule="auto"/>
              <w:jc w:val="both"/>
              <w:rPr>
                <w:rFonts w:ascii="Arial" w:hAnsi="Arial" w:cs="Arial"/>
                <w:sz w:val="20"/>
                <w:szCs w:val="20"/>
              </w:rPr>
            </w:pPr>
            <w:r>
              <w:rPr>
                <w:rFonts w:ascii="Arial" w:hAnsi="Arial" w:cs="Arial"/>
                <w:noProof/>
                <w:sz w:val="20"/>
                <w:szCs w:val="20"/>
              </w:rPr>
              <w:drawing>
                <wp:inline distT="0" distB="0" distL="0" distR="0">
                  <wp:extent cx="407670" cy="387350"/>
                  <wp:effectExtent l="0" t="0" r="0" b="0"/>
                  <wp:docPr id="1" name="Imagen 1" descr="cid:image007.png@01D19A43.92A2204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7.png@01D19A43.92A220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07670" cy="387350"/>
                          </a:xfrm>
                          <a:prstGeom prst="rect">
                            <a:avLst/>
                          </a:prstGeom>
                          <a:noFill/>
                          <a:ln>
                            <a:noFill/>
                          </a:ln>
                        </pic:spPr>
                      </pic:pic>
                    </a:graphicData>
                  </a:graphic>
                </wp:inline>
              </w:drawing>
            </w:r>
          </w:p>
        </w:tc>
        <w:tc>
          <w:tcPr>
            <w:tcW w:w="432" w:type="dxa"/>
            <w:shd w:val="clear" w:color="auto" w:fill="FFFFFF"/>
            <w:vAlign w:val="center"/>
            <w:hideMark/>
          </w:tcPr>
          <w:p w:rsidR="00C75BF8" w:rsidRDefault="00C75BF8">
            <w:pPr>
              <w:jc w:val="both"/>
              <w:rPr>
                <w:rFonts w:ascii="Arial" w:hAnsi="Arial" w:cs="Arial"/>
              </w:rPr>
            </w:pPr>
            <w:r>
              <w:rPr>
                <w:rFonts w:ascii="Arial" w:hAnsi="Arial" w:cs="Arial"/>
              </w:rPr>
              <w:t> </w:t>
            </w:r>
          </w:p>
        </w:tc>
      </w:tr>
      <w:tr w:rsidR="008703D5" w:rsidTr="00C75BF8">
        <w:trPr>
          <w:tblCellSpacing w:w="0" w:type="dxa"/>
          <w:jc w:val="center"/>
        </w:trPr>
        <w:tc>
          <w:tcPr>
            <w:tcW w:w="0" w:type="auto"/>
            <w:shd w:val="clear" w:color="auto" w:fill="FFFFFF"/>
            <w:vAlign w:val="center"/>
          </w:tcPr>
          <w:p w:rsidR="00C75BF8" w:rsidRDefault="00C75BF8">
            <w:pPr>
              <w:jc w:val="both"/>
              <w:rPr>
                <w:rFonts w:ascii="Arial" w:hAnsi="Arial" w:cs="Arial"/>
              </w:rPr>
            </w:pPr>
          </w:p>
        </w:tc>
        <w:tc>
          <w:tcPr>
            <w:tcW w:w="3679" w:type="dxa"/>
            <w:shd w:val="clear" w:color="auto" w:fill="FFFFFF"/>
          </w:tcPr>
          <w:p w:rsidR="00C75BF8" w:rsidRDefault="00C75BF8">
            <w:pPr>
              <w:spacing w:line="270" w:lineRule="atLeast"/>
              <w:jc w:val="both"/>
              <w:rPr>
                <w:rFonts w:ascii="Arial" w:hAnsi="Arial" w:cs="Arial"/>
                <w:sz w:val="20"/>
                <w:szCs w:val="20"/>
              </w:rPr>
            </w:pPr>
          </w:p>
        </w:tc>
        <w:tc>
          <w:tcPr>
            <w:tcW w:w="6076" w:type="dxa"/>
            <w:shd w:val="clear" w:color="auto" w:fill="FFFFFF"/>
            <w:vAlign w:val="bottom"/>
          </w:tcPr>
          <w:p w:rsidR="00C75BF8" w:rsidRDefault="00C75BF8">
            <w:pPr>
              <w:spacing w:line="288" w:lineRule="auto"/>
              <w:jc w:val="both"/>
              <w:rPr>
                <w:rFonts w:ascii="Arial" w:hAnsi="Arial" w:cs="Arial"/>
                <w:sz w:val="20"/>
                <w:szCs w:val="20"/>
              </w:rPr>
            </w:pPr>
          </w:p>
        </w:tc>
        <w:tc>
          <w:tcPr>
            <w:tcW w:w="432" w:type="dxa"/>
            <w:shd w:val="clear" w:color="auto" w:fill="FFFFFF"/>
            <w:vAlign w:val="center"/>
          </w:tcPr>
          <w:p w:rsidR="00C75BF8" w:rsidRDefault="00C75BF8">
            <w:pPr>
              <w:jc w:val="both"/>
              <w:rPr>
                <w:rFonts w:ascii="Arial" w:hAnsi="Arial" w:cs="Arial"/>
              </w:rPr>
            </w:pPr>
          </w:p>
        </w:tc>
      </w:tr>
      <w:tr w:rsidR="00C75BF8" w:rsidTr="00C75BF8">
        <w:trPr>
          <w:trHeight w:val="135"/>
          <w:tblCellSpacing w:w="0" w:type="dxa"/>
          <w:jc w:val="center"/>
        </w:trPr>
        <w:tc>
          <w:tcPr>
            <w:tcW w:w="0" w:type="auto"/>
            <w:shd w:val="clear" w:color="auto" w:fill="FFFFFF"/>
            <w:vAlign w:val="center"/>
            <w:hideMark/>
          </w:tcPr>
          <w:p w:rsidR="00C75BF8" w:rsidRDefault="00C75BF8">
            <w:pPr>
              <w:jc w:val="both"/>
              <w:rPr>
                <w:rFonts w:ascii="Arial" w:hAnsi="Arial" w:cs="Arial"/>
              </w:rPr>
            </w:pPr>
            <w:r>
              <w:rPr>
                <w:rFonts w:ascii="Arial" w:hAnsi="Arial" w:cs="Arial"/>
              </w:rPr>
              <w:t> </w:t>
            </w:r>
          </w:p>
        </w:tc>
        <w:tc>
          <w:tcPr>
            <w:tcW w:w="9755" w:type="dxa"/>
            <w:gridSpan w:val="2"/>
            <w:shd w:val="clear" w:color="auto" w:fill="FFFFFF"/>
            <w:vAlign w:val="center"/>
            <w:hideMark/>
          </w:tcPr>
          <w:p w:rsidR="00C75BF8" w:rsidRDefault="00C75BF8">
            <w:pPr>
              <w:jc w:val="both"/>
              <w:rPr>
                <w:rFonts w:ascii="Arial" w:hAnsi="Arial" w:cs="Arial"/>
              </w:rPr>
            </w:pPr>
            <w:r>
              <w:rPr>
                <w:rFonts w:ascii="Arial" w:hAnsi="Arial" w:cs="Arial"/>
              </w:rPr>
              <w:t> </w:t>
            </w:r>
          </w:p>
        </w:tc>
        <w:tc>
          <w:tcPr>
            <w:tcW w:w="432" w:type="dxa"/>
            <w:shd w:val="clear" w:color="auto" w:fill="FFFFFF"/>
            <w:vAlign w:val="center"/>
            <w:hideMark/>
          </w:tcPr>
          <w:p w:rsidR="00C75BF8" w:rsidRDefault="00C75BF8">
            <w:pPr>
              <w:jc w:val="both"/>
              <w:rPr>
                <w:rFonts w:ascii="Arial" w:hAnsi="Arial" w:cs="Arial"/>
              </w:rPr>
            </w:pPr>
            <w:r>
              <w:rPr>
                <w:rFonts w:ascii="Arial" w:hAnsi="Arial" w:cs="Arial"/>
              </w:rPr>
              <w:t> </w:t>
            </w:r>
          </w:p>
        </w:tc>
      </w:tr>
      <w:tr w:rsidR="00C75BF8" w:rsidTr="00C75BF8">
        <w:trPr>
          <w:trHeight w:val="750"/>
          <w:tblCellSpacing w:w="0" w:type="dxa"/>
          <w:jc w:val="center"/>
        </w:trPr>
        <w:tc>
          <w:tcPr>
            <w:tcW w:w="0" w:type="auto"/>
            <w:shd w:val="clear" w:color="auto" w:fill="ECE9F1"/>
            <w:vAlign w:val="center"/>
            <w:hideMark/>
          </w:tcPr>
          <w:p w:rsidR="00C75BF8" w:rsidRDefault="00C75BF8">
            <w:pPr>
              <w:jc w:val="both"/>
              <w:rPr>
                <w:rFonts w:ascii="Arial" w:hAnsi="Arial" w:cs="Arial"/>
              </w:rPr>
            </w:pPr>
            <w:r>
              <w:rPr>
                <w:rFonts w:ascii="Arial" w:hAnsi="Arial" w:cs="Arial"/>
              </w:rPr>
              <w:t> </w:t>
            </w:r>
          </w:p>
        </w:tc>
        <w:tc>
          <w:tcPr>
            <w:tcW w:w="9755" w:type="dxa"/>
            <w:gridSpan w:val="2"/>
            <w:shd w:val="clear" w:color="auto" w:fill="ECE9F1"/>
            <w:vAlign w:val="center"/>
            <w:hideMark/>
          </w:tcPr>
          <w:p w:rsidR="00C75BF8" w:rsidRDefault="00C75BF8">
            <w:pPr>
              <w:jc w:val="center"/>
            </w:pPr>
            <w:r>
              <w:rPr>
                <w:noProof/>
              </w:rPr>
              <w:drawing>
                <wp:anchor distT="0" distB="0" distL="114300" distR="114300" simplePos="0" relativeHeight="251654656" behindDoc="0" locked="0" layoutInCell="1" allowOverlap="1">
                  <wp:simplePos x="0" y="0"/>
                  <wp:positionH relativeFrom="column">
                    <wp:posOffset>104775</wp:posOffset>
                  </wp:positionH>
                  <wp:positionV relativeFrom="paragraph">
                    <wp:posOffset>123825</wp:posOffset>
                  </wp:positionV>
                  <wp:extent cx="2320290" cy="247650"/>
                  <wp:effectExtent l="0" t="0" r="381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029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simplePos x="0" y="0"/>
                  <wp:positionH relativeFrom="column">
                    <wp:posOffset>5473700</wp:posOffset>
                  </wp:positionH>
                  <wp:positionV relativeFrom="paragraph">
                    <wp:posOffset>84455</wp:posOffset>
                  </wp:positionV>
                  <wp:extent cx="260350" cy="258445"/>
                  <wp:effectExtent l="0" t="0" r="6350" b="8255"/>
                  <wp:wrapNone/>
                  <wp:docPr id="9" name="Imagen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350" cy="258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5159375</wp:posOffset>
                  </wp:positionH>
                  <wp:positionV relativeFrom="paragraph">
                    <wp:posOffset>84455</wp:posOffset>
                  </wp:positionV>
                  <wp:extent cx="260350" cy="258445"/>
                  <wp:effectExtent l="0" t="0" r="6350" b="8255"/>
                  <wp:wrapNone/>
                  <wp:docPr id="8" name="Imagen 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350" cy="258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simplePos x="0" y="0"/>
                  <wp:positionH relativeFrom="column">
                    <wp:posOffset>4845050</wp:posOffset>
                  </wp:positionH>
                  <wp:positionV relativeFrom="paragraph">
                    <wp:posOffset>84455</wp:posOffset>
                  </wp:positionV>
                  <wp:extent cx="260350" cy="258445"/>
                  <wp:effectExtent l="0" t="0" r="6350" b="8255"/>
                  <wp:wrapNone/>
                  <wp:docPr id="7" name="Imagen 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0350" cy="258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simplePos x="0" y="0"/>
                  <wp:positionH relativeFrom="column">
                    <wp:posOffset>4540250</wp:posOffset>
                  </wp:positionH>
                  <wp:positionV relativeFrom="paragraph">
                    <wp:posOffset>84455</wp:posOffset>
                  </wp:positionV>
                  <wp:extent cx="247650" cy="245110"/>
                  <wp:effectExtent l="0" t="0" r="0" b="2540"/>
                  <wp:wrapNone/>
                  <wp:docPr id="6" name="Imagen 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245110"/>
                          </a:xfrm>
                          <a:prstGeom prst="rect">
                            <a:avLst/>
                          </a:prstGeom>
                          <a:noFill/>
                        </pic:spPr>
                      </pic:pic>
                    </a:graphicData>
                  </a:graphic>
                  <wp14:sizeRelH relativeFrom="page">
                    <wp14:pctWidth>0</wp14:pctWidth>
                  </wp14:sizeRelH>
                  <wp14:sizeRelV relativeFrom="page">
                    <wp14:pctHeight>0</wp14:pctHeight>
                  </wp14:sizeRelV>
                </wp:anchor>
              </w:drawing>
            </w:r>
          </w:p>
        </w:tc>
        <w:tc>
          <w:tcPr>
            <w:tcW w:w="432" w:type="dxa"/>
            <w:shd w:val="clear" w:color="auto" w:fill="ECE9F1"/>
            <w:vAlign w:val="center"/>
            <w:hideMark/>
          </w:tcPr>
          <w:p w:rsidR="00C75BF8" w:rsidRDefault="00C75BF8">
            <w:pPr>
              <w:jc w:val="both"/>
              <w:rPr>
                <w:rFonts w:ascii="Arial" w:hAnsi="Arial" w:cs="Arial"/>
              </w:rPr>
            </w:pPr>
            <w:r>
              <w:rPr>
                <w:rFonts w:ascii="Arial" w:hAnsi="Arial" w:cs="Arial"/>
              </w:rPr>
              <w:t> </w:t>
            </w:r>
          </w:p>
        </w:tc>
      </w:tr>
      <w:tr w:rsidR="00C75BF8" w:rsidTr="00C75BF8">
        <w:trPr>
          <w:tblCellSpacing w:w="0" w:type="dxa"/>
          <w:jc w:val="center"/>
        </w:trPr>
        <w:tc>
          <w:tcPr>
            <w:tcW w:w="0" w:type="auto"/>
            <w:shd w:val="clear" w:color="auto" w:fill="FFFFFF"/>
            <w:vAlign w:val="center"/>
            <w:hideMark/>
          </w:tcPr>
          <w:p w:rsidR="00C75BF8" w:rsidRDefault="00C75BF8">
            <w:pPr>
              <w:jc w:val="both"/>
              <w:rPr>
                <w:rFonts w:ascii="Arial" w:hAnsi="Arial" w:cs="Arial"/>
              </w:rPr>
            </w:pPr>
            <w:r>
              <w:rPr>
                <w:rFonts w:ascii="Arial" w:hAnsi="Arial" w:cs="Arial"/>
              </w:rPr>
              <w:t> </w:t>
            </w:r>
          </w:p>
        </w:tc>
        <w:tc>
          <w:tcPr>
            <w:tcW w:w="9755" w:type="dxa"/>
            <w:gridSpan w:val="2"/>
            <w:shd w:val="clear" w:color="auto" w:fill="FFFFFF"/>
            <w:vAlign w:val="center"/>
            <w:hideMark/>
          </w:tcPr>
          <w:p w:rsidR="00C75BF8" w:rsidRDefault="00C75BF8">
            <w:pPr>
              <w:jc w:val="both"/>
              <w:rPr>
                <w:rFonts w:ascii="Arial" w:hAnsi="Arial" w:cs="Arial"/>
              </w:rPr>
            </w:pPr>
            <w:r>
              <w:rPr>
                <w:rFonts w:ascii="Arial" w:hAnsi="Arial" w:cs="Arial"/>
              </w:rPr>
              <w:t> </w:t>
            </w:r>
          </w:p>
        </w:tc>
        <w:tc>
          <w:tcPr>
            <w:tcW w:w="432" w:type="dxa"/>
            <w:shd w:val="clear" w:color="auto" w:fill="FFFFFF"/>
            <w:vAlign w:val="center"/>
            <w:hideMark/>
          </w:tcPr>
          <w:p w:rsidR="00C75BF8" w:rsidRDefault="00C75BF8">
            <w:pPr>
              <w:jc w:val="both"/>
              <w:rPr>
                <w:rFonts w:ascii="Arial" w:hAnsi="Arial" w:cs="Arial"/>
              </w:rPr>
            </w:pPr>
            <w:r>
              <w:rPr>
                <w:rFonts w:ascii="Arial" w:hAnsi="Arial" w:cs="Arial"/>
              </w:rPr>
              <w:t> </w:t>
            </w:r>
          </w:p>
        </w:tc>
      </w:tr>
    </w:tbl>
    <w:p w:rsidR="003846D6" w:rsidRDefault="003846D6"/>
    <w:sectPr w:rsidR="003846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15A3B"/>
    <w:multiLevelType w:val="hybridMultilevel"/>
    <w:tmpl w:val="A5D68F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6CCD4F9C"/>
    <w:multiLevelType w:val="hybridMultilevel"/>
    <w:tmpl w:val="921CAB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BF8"/>
    <w:rsid w:val="00214585"/>
    <w:rsid w:val="003846D6"/>
    <w:rsid w:val="008703D5"/>
    <w:rsid w:val="00954990"/>
    <w:rsid w:val="0096733E"/>
    <w:rsid w:val="00A52971"/>
    <w:rsid w:val="00C75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A3465-05CB-4C40-A924-F92C81ED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F8"/>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5BF8"/>
    <w:rPr>
      <w:color w:val="0000FF"/>
      <w:u w:val="single"/>
    </w:rPr>
  </w:style>
  <w:style w:type="paragraph" w:styleId="Prrafodelista">
    <w:name w:val="List Paragraph"/>
    <w:basedOn w:val="Normal"/>
    <w:uiPriority w:val="34"/>
    <w:qFormat/>
    <w:rsid w:val="00C75BF8"/>
    <w:pPr>
      <w:ind w:left="720"/>
    </w:pPr>
  </w:style>
  <w:style w:type="character" w:styleId="Textoennegrita">
    <w:name w:val="Strong"/>
    <w:basedOn w:val="Fuentedeprrafopredeter"/>
    <w:uiPriority w:val="22"/>
    <w:qFormat/>
    <w:rsid w:val="00C75B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50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thornton.es/archivos/la-economia-mundial-en-2017_mas-alla-de-la-incertidumbre.pdf" TargetMode="External"/><Relationship Id="rId13" Type="http://schemas.openxmlformats.org/officeDocument/2006/relationships/image" Target="media/image5.png"/><Relationship Id="rId18" Type="http://schemas.openxmlformats.org/officeDocument/2006/relationships/hyperlink" Target="https://www.linkedin.com/company/grant-thornton-spain"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hyperlink" Target="http://www.grantthornton.es/prensa.html"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cebook.com/grantthorntonspain/" TargetMode="External"/><Relationship Id="rId20" Type="http://schemas.openxmlformats.org/officeDocument/2006/relationships/hyperlink" Target="https://www.youtube.com/user/GrantThorntonSpain" TargetMode="External"/><Relationship Id="rId1" Type="http://schemas.openxmlformats.org/officeDocument/2006/relationships/numbering" Target="numbering.xml"/><Relationship Id="rId6" Type="http://schemas.openxmlformats.org/officeDocument/2006/relationships/image" Target="cid:image006.png@01D19A43.92A22040" TargetMode="External"/><Relationship Id="rId11" Type="http://schemas.openxmlformats.org/officeDocument/2006/relationships/hyperlink" Target="mailto:Comunicacion@es.gt.com"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image007.png@01D19A43.92A22040" TargetMode="External"/><Relationship Id="rId22" Type="http://schemas.openxmlformats.org/officeDocument/2006/relationships/hyperlink" Target="https://twitter.com/grantthornton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868</Words>
  <Characters>4777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Grant Thornton Spain</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Rafael Gonzalez Blanco</dc:creator>
  <cp:keywords/>
  <dc:description/>
  <cp:lastModifiedBy>Policarpo Aroca Oviedo</cp:lastModifiedBy>
  <cp:revision>4</cp:revision>
  <dcterms:created xsi:type="dcterms:W3CDTF">2017-04-17T11:38:00Z</dcterms:created>
  <dcterms:modified xsi:type="dcterms:W3CDTF">2017-04-17T11:52:00Z</dcterms:modified>
</cp:coreProperties>
</file>