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08" w:rsidRPr="004E1E08" w:rsidRDefault="004E1E08" w:rsidP="004E1E0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Cambria" w:cs="Cambria"/>
          <w:b/>
          <w:bCs/>
          <w:color w:val="000000"/>
          <w:sz w:val="28"/>
          <w:szCs w:val="28"/>
          <w:u w:color="000000"/>
          <w:bdr w:val="nil"/>
          <w:lang w:val="es-ES_tradnl"/>
        </w:rPr>
      </w:pPr>
    </w:p>
    <w:p w:rsidR="004E1E08" w:rsidRPr="004E1E08" w:rsidRDefault="004E1E08" w:rsidP="004E1E0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eastAsia="Cambria" w:cs="Cambria"/>
          <w:b/>
          <w:bCs/>
          <w:color w:val="000000"/>
          <w:u w:color="000000"/>
          <w:bdr w:val="nil"/>
          <w:lang w:val="es-ES_tradnl"/>
        </w:rPr>
      </w:pPr>
      <w:r w:rsidRPr="004E1E08">
        <w:rPr>
          <w:rFonts w:eastAsia="Cambria" w:cs="Cambria"/>
          <w:b/>
          <w:bCs/>
          <w:noProof/>
          <w:color w:val="000000"/>
          <w:u w:color="000000"/>
          <w:bdr w:val="nil"/>
        </w:rPr>
        <w:drawing>
          <wp:anchor distT="0" distB="0" distL="0" distR="0" simplePos="0" relativeHeight="251659264" behindDoc="1" locked="0" layoutInCell="1" allowOverlap="1" wp14:anchorId="53E3262E" wp14:editId="4C3C8AC0">
            <wp:simplePos x="0" y="0"/>
            <wp:positionH relativeFrom="column">
              <wp:posOffset>2162810</wp:posOffset>
            </wp:positionH>
            <wp:positionV relativeFrom="line">
              <wp:posOffset>-149860</wp:posOffset>
            </wp:positionV>
            <wp:extent cx="819150" cy="855981"/>
            <wp:effectExtent l="0" t="0" r="0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55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E1E08" w:rsidRPr="004E1E08" w:rsidRDefault="004E1E08" w:rsidP="004E1E0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 w:cs="Cambria"/>
          <w:b/>
          <w:bCs/>
          <w:color w:val="000000"/>
          <w:sz w:val="40"/>
          <w:szCs w:val="40"/>
          <w:u w:color="000000"/>
          <w:bdr w:val="nil"/>
          <w:lang w:val="es-ES_tradnl"/>
        </w:rPr>
      </w:pPr>
    </w:p>
    <w:p w:rsidR="004E1E08" w:rsidRPr="004E1E08" w:rsidRDefault="004E1E08" w:rsidP="004E1E0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 w:cs="Cambria"/>
          <w:b/>
          <w:bCs/>
          <w:color w:val="000000"/>
          <w:sz w:val="16"/>
          <w:szCs w:val="16"/>
          <w:u w:color="000000"/>
          <w:bdr w:val="nil"/>
          <w:lang w:val="es-ES_tradnl"/>
        </w:rPr>
      </w:pPr>
    </w:p>
    <w:p w:rsidR="004E1E08" w:rsidRPr="004E1E08" w:rsidRDefault="004E1E08" w:rsidP="004E1E0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 w:cs="Cambria"/>
          <w:b/>
          <w:bCs/>
          <w:color w:val="000000"/>
          <w:sz w:val="40"/>
          <w:szCs w:val="40"/>
          <w:u w:color="000000"/>
          <w:bdr w:val="nil"/>
          <w:lang w:val="es-ES_tradnl"/>
        </w:rPr>
      </w:pPr>
    </w:p>
    <w:p w:rsidR="004E1E08" w:rsidRPr="00491FB6" w:rsidRDefault="004E1E08" w:rsidP="00E7166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b/>
          <w:bCs/>
          <w:color w:val="000000"/>
          <w:sz w:val="38"/>
          <w:szCs w:val="38"/>
          <w:u w:color="000000"/>
          <w:bdr w:val="nil"/>
          <w:lang w:val="es-ES_tradnl"/>
        </w:rPr>
      </w:pPr>
      <w:r w:rsidRPr="00491FB6">
        <w:rPr>
          <w:rFonts w:eastAsia="Cambria" w:cs="Cambria"/>
          <w:b/>
          <w:bCs/>
          <w:color w:val="000000"/>
          <w:sz w:val="38"/>
          <w:szCs w:val="38"/>
          <w:u w:color="000000"/>
          <w:bdr w:val="nil"/>
          <w:lang w:val="es-ES_tradnl"/>
        </w:rPr>
        <w:t xml:space="preserve">El Grupo SEPI obtiene un beneficio neto de 57 millones de euros en el primer semestre de 2016 </w:t>
      </w:r>
    </w:p>
    <w:p w:rsidR="004E1E08" w:rsidRPr="00491FB6" w:rsidRDefault="004E1E08" w:rsidP="00E7166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b/>
          <w:bCs/>
          <w:color w:val="000000"/>
          <w:sz w:val="32"/>
          <w:szCs w:val="32"/>
          <w:u w:color="000000"/>
          <w:bdr w:val="nil"/>
          <w:lang w:val="es-ES_tradnl"/>
        </w:rPr>
      </w:pPr>
    </w:p>
    <w:p w:rsidR="007A4EF0" w:rsidRDefault="007A4EF0" w:rsidP="00E716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</w:pPr>
      <w:r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>Los ingresos consolidados del Grupo fueron de 1</w:t>
      </w:r>
      <w:r w:rsidR="0010036F"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>.</w:t>
      </w:r>
      <w:r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>971 millones mientras que e</w:t>
      </w:r>
      <w:r w:rsidR="004E1E08"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 xml:space="preserve">l importe neto de la cifra de negocios </w:t>
      </w:r>
      <w:r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 xml:space="preserve">alcanzó los 1.897 millones de euros </w:t>
      </w:r>
    </w:p>
    <w:p w:rsidR="004E1E08" w:rsidRPr="004E1E08" w:rsidRDefault="007A4EF0" w:rsidP="00E716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</w:pPr>
      <w:r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>Las contratacio</w:t>
      </w:r>
      <w:r w:rsidR="004E1E08"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>n</w:t>
      </w:r>
      <w:r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>es</w:t>
      </w:r>
      <w:r w:rsidR="004E1E08"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 xml:space="preserve"> de las empresas </w:t>
      </w:r>
      <w:r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 xml:space="preserve">totalizaron los </w:t>
      </w:r>
      <w:r w:rsidR="004E1E08"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 xml:space="preserve">1.039 </w:t>
      </w:r>
      <w:r>
        <w:rPr>
          <w:rFonts w:eastAsia="Cambria" w:cs="Cambria"/>
          <w:color w:val="000000"/>
          <w:sz w:val="28"/>
          <w:szCs w:val="28"/>
          <w:u w:color="000000"/>
          <w:bdr w:val="nil"/>
          <w:lang w:val="es-ES_tradnl"/>
        </w:rPr>
        <w:t xml:space="preserve">millones, lo que situó la cartera de pedidos acumulada en 4.542 millones de euros </w:t>
      </w:r>
    </w:p>
    <w:p w:rsidR="004E1E08" w:rsidRPr="004E1E08" w:rsidRDefault="004E1E08" w:rsidP="00E7166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b/>
          <w:bCs/>
          <w:color w:val="000000"/>
          <w:u w:val="single" w:color="000000"/>
          <w:bdr w:val="nil"/>
          <w:lang w:val="es-ES_tradnl"/>
        </w:rPr>
      </w:pPr>
    </w:p>
    <w:p w:rsidR="00E7166B" w:rsidRPr="00F320BB" w:rsidRDefault="004E1E08" w:rsidP="00F320B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u w:color="000000"/>
          <w:bdr w:val="nil"/>
          <w:lang w:val="es-ES_tradnl"/>
        </w:rPr>
      </w:pPr>
      <w:r w:rsidRPr="004E1E08">
        <w:rPr>
          <w:rFonts w:eastAsia="Cambria" w:cs="Cambria"/>
          <w:b/>
          <w:bCs/>
          <w:color w:val="000000"/>
          <w:u w:val="single" w:color="000000"/>
          <w:bdr w:val="nil"/>
          <w:lang w:val="es-ES_tradnl"/>
        </w:rPr>
        <w:t>2</w:t>
      </w:r>
      <w:r w:rsidR="00EA238E">
        <w:rPr>
          <w:rFonts w:eastAsia="Cambria" w:cs="Cambria"/>
          <w:b/>
          <w:bCs/>
          <w:color w:val="000000"/>
          <w:u w:val="single" w:color="000000"/>
          <w:bdr w:val="nil"/>
          <w:lang w:val="es-ES_tradnl"/>
        </w:rPr>
        <w:t>9</w:t>
      </w:r>
      <w:r w:rsidRPr="004E1E08">
        <w:rPr>
          <w:rFonts w:eastAsia="Cambria" w:cs="Cambria"/>
          <w:b/>
          <w:bCs/>
          <w:color w:val="000000"/>
          <w:u w:val="single" w:color="000000"/>
          <w:bdr w:val="nil"/>
          <w:lang w:val="es-ES_tradnl"/>
        </w:rPr>
        <w:t xml:space="preserve">. </w:t>
      </w:r>
      <w:r>
        <w:rPr>
          <w:rFonts w:eastAsia="Cambria" w:cs="Cambria"/>
          <w:b/>
          <w:bCs/>
          <w:color w:val="000000"/>
          <w:u w:val="single" w:color="000000"/>
          <w:bdr w:val="nil"/>
          <w:lang w:val="es-ES_tradnl"/>
        </w:rPr>
        <w:t>octubre</w:t>
      </w:r>
      <w:r w:rsidRPr="004E1E08">
        <w:rPr>
          <w:rFonts w:eastAsia="Cambria" w:cs="Cambria"/>
          <w:b/>
          <w:bCs/>
          <w:color w:val="000000"/>
          <w:u w:val="single" w:color="000000"/>
          <w:bdr w:val="nil"/>
          <w:lang w:val="es-ES_tradnl"/>
        </w:rPr>
        <w:t>. 2016.-</w:t>
      </w:r>
      <w:r w:rsidRPr="004E1E08">
        <w:rPr>
          <w:rFonts w:eastAsia="Cambria" w:cs="Cambria"/>
          <w:color w:val="000000"/>
          <w:u w:color="000000"/>
          <w:bdr w:val="nil"/>
          <w:lang w:val="es-ES_tradnl"/>
        </w:rPr>
        <w:t xml:space="preserve"> El </w:t>
      </w:r>
      <w:r>
        <w:rPr>
          <w:rFonts w:eastAsia="Cambria" w:cs="Cambria"/>
          <w:color w:val="000000"/>
          <w:u w:color="000000"/>
          <w:bdr w:val="nil"/>
          <w:lang w:val="es-ES_tradnl"/>
        </w:rPr>
        <w:t xml:space="preserve">Grupo SEPI cerró el primer semestre de este año con un beneficio neto atribuible a la </w:t>
      </w:r>
      <w:r w:rsidR="00A4792C">
        <w:rPr>
          <w:rFonts w:eastAsia="Cambria" w:cs="Cambria"/>
          <w:color w:val="000000"/>
          <w:u w:color="000000"/>
          <w:bdr w:val="nil"/>
          <w:lang w:val="es-ES_tradnl"/>
        </w:rPr>
        <w:t>s</w:t>
      </w:r>
      <w:r>
        <w:rPr>
          <w:rFonts w:eastAsia="Cambria" w:cs="Cambria"/>
          <w:color w:val="000000"/>
          <w:u w:color="000000"/>
          <w:bdr w:val="nil"/>
          <w:lang w:val="es-ES_tradnl"/>
        </w:rPr>
        <w:t xml:space="preserve">ociedad </w:t>
      </w:r>
      <w:r w:rsidR="00A4792C">
        <w:rPr>
          <w:rFonts w:eastAsia="Cambria" w:cs="Cambria"/>
          <w:color w:val="000000"/>
          <w:u w:color="000000"/>
          <w:bdr w:val="nil"/>
          <w:lang w:val="es-ES_tradnl"/>
        </w:rPr>
        <w:t>dominante por importe de 57 millones de euros, lo que supone una mejora de 77 millones respecto al mismo periodo de 2015, en el que se contabilizaron pérdidas</w:t>
      </w:r>
      <w:r w:rsidR="00200F82">
        <w:rPr>
          <w:rFonts w:eastAsia="Cambria" w:cs="Cambria"/>
          <w:color w:val="000000"/>
          <w:u w:color="000000"/>
          <w:bdr w:val="nil"/>
          <w:lang w:val="es-ES_tradnl"/>
        </w:rPr>
        <w:t xml:space="preserve"> por un total</w:t>
      </w:r>
      <w:r w:rsidR="00A4792C">
        <w:rPr>
          <w:rFonts w:eastAsia="Cambria" w:cs="Cambria"/>
          <w:color w:val="000000"/>
          <w:u w:color="000000"/>
          <w:bdr w:val="nil"/>
          <w:lang w:val="es-ES_tradnl"/>
        </w:rPr>
        <w:t xml:space="preserve"> de 2</w:t>
      </w:r>
      <w:r w:rsidR="0010036F">
        <w:rPr>
          <w:rFonts w:eastAsia="Cambria" w:cs="Cambria"/>
          <w:color w:val="000000"/>
          <w:u w:color="000000"/>
          <w:bdr w:val="nil"/>
          <w:lang w:val="es-ES_tradnl"/>
        </w:rPr>
        <w:t xml:space="preserve">0 </w:t>
      </w:r>
      <w:r w:rsidR="00D43F54">
        <w:rPr>
          <w:rFonts w:eastAsia="Cambria" w:cs="Cambria"/>
          <w:color w:val="000000"/>
          <w:u w:color="000000"/>
          <w:bdr w:val="nil"/>
          <w:lang w:val="es-ES_tradnl"/>
        </w:rPr>
        <w:t xml:space="preserve">millones. Estos resultados </w:t>
      </w:r>
      <w:r w:rsidR="00A4792C">
        <w:rPr>
          <w:rFonts w:eastAsia="Cambria" w:cs="Cambria"/>
          <w:color w:val="000000"/>
          <w:u w:color="000000"/>
          <w:bdr w:val="nil"/>
          <w:lang w:val="es-ES_tradnl"/>
        </w:rPr>
        <w:t xml:space="preserve">positivos son consecuencia de la aportación de las empresas </w:t>
      </w:r>
      <w:r w:rsidR="0010036F">
        <w:rPr>
          <w:rFonts w:eastAsia="Cambria" w:cs="Cambria"/>
          <w:color w:val="000000"/>
          <w:u w:color="000000"/>
          <w:bdr w:val="nil"/>
          <w:lang w:val="es-ES_tradnl"/>
        </w:rPr>
        <w:t xml:space="preserve">participadas </w:t>
      </w:r>
      <w:r w:rsidR="00A4792C">
        <w:rPr>
          <w:rFonts w:eastAsia="Cambria" w:cs="Cambria"/>
          <w:color w:val="000000"/>
          <w:u w:color="000000"/>
          <w:bdr w:val="nil"/>
          <w:lang w:val="es-ES_tradnl"/>
        </w:rPr>
        <w:t>que consolidan por el método de puesta en equivalencia</w:t>
      </w:r>
      <w:r w:rsidR="0010036F">
        <w:rPr>
          <w:rFonts w:eastAsia="Cambria" w:cs="Cambria"/>
          <w:color w:val="000000"/>
          <w:u w:color="000000"/>
          <w:bdr w:val="nil"/>
          <w:lang w:val="es-ES_tradnl"/>
        </w:rPr>
        <w:t xml:space="preserve"> (REC, AIRBUS, INDRA y ENAGAS)</w:t>
      </w:r>
      <w:r w:rsidR="00A4792C">
        <w:rPr>
          <w:rFonts w:eastAsia="Cambria" w:cs="Cambria"/>
          <w:color w:val="000000"/>
          <w:u w:color="000000"/>
          <w:bdr w:val="nil"/>
          <w:lang w:val="es-ES_tradnl"/>
        </w:rPr>
        <w:t xml:space="preserve"> y los dividendos devengados</w:t>
      </w:r>
      <w:r w:rsidR="00F320BB" w:rsidRPr="00F320BB">
        <w:rPr>
          <w:rFonts w:eastAsia="Cambria" w:cs="Cambria"/>
          <w:u w:color="000000"/>
          <w:bdr w:val="nil"/>
          <w:lang w:val="es-ES_tradnl"/>
        </w:rPr>
        <w:t>.</w:t>
      </w:r>
    </w:p>
    <w:p w:rsidR="00200F82" w:rsidRDefault="00200F82" w:rsidP="00E7166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color w:val="000000"/>
          <w:u w:color="000000"/>
          <w:bdr w:val="nil"/>
          <w:lang w:val="es-ES_tradnl"/>
        </w:rPr>
      </w:pPr>
    </w:p>
    <w:p w:rsidR="00613749" w:rsidRDefault="0010036F" w:rsidP="00E7166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color w:val="000000"/>
          <w:u w:color="000000"/>
          <w:bdr w:val="nil"/>
          <w:lang w:val="es-ES_tradnl"/>
        </w:rPr>
      </w:pPr>
      <w:r>
        <w:rPr>
          <w:rFonts w:eastAsia="Cambria" w:cs="Cambria"/>
          <w:color w:val="000000"/>
          <w:u w:color="000000"/>
          <w:bdr w:val="nil"/>
          <w:lang w:val="es-ES_tradnl"/>
        </w:rPr>
        <w:t>Los ingresos consolidados del Grupo alcanzaron los 1.971 millones de euros, mientras que e</w:t>
      </w:r>
      <w:r w:rsidR="00E7166B">
        <w:rPr>
          <w:rFonts w:eastAsia="Cambria" w:cs="Cambria"/>
          <w:color w:val="000000"/>
          <w:u w:color="000000"/>
          <w:bdr w:val="nil"/>
          <w:lang w:val="es-ES_tradnl"/>
        </w:rPr>
        <w:t>l importe neto de la cif</w:t>
      </w:r>
      <w:r>
        <w:rPr>
          <w:rFonts w:eastAsia="Cambria" w:cs="Cambria"/>
          <w:color w:val="000000"/>
          <w:u w:color="000000"/>
          <w:bdr w:val="nil"/>
          <w:lang w:val="es-ES_tradnl"/>
        </w:rPr>
        <w:t>ra de negocios del Grupo SEPI a</w:t>
      </w:r>
      <w:r w:rsidR="00E7166B">
        <w:rPr>
          <w:rFonts w:eastAsia="Cambria" w:cs="Cambria"/>
          <w:color w:val="000000"/>
          <w:u w:color="000000"/>
          <w:bdr w:val="nil"/>
          <w:lang w:val="es-ES_tradnl"/>
        </w:rPr>
        <w:t xml:space="preserve"> 30 de junio de 2016</w:t>
      </w:r>
      <w:r w:rsidR="00297A9A">
        <w:rPr>
          <w:rFonts w:eastAsia="Cambria" w:cs="Cambria"/>
          <w:color w:val="000000"/>
          <w:u w:color="000000"/>
          <w:bdr w:val="nil"/>
          <w:lang w:val="es-ES_tradnl"/>
        </w:rPr>
        <w:t xml:space="preserve"> se situó en 1.897 millones de euros, correspondiendo la mayor aportación a este importe la realizada por los grupo CORREOS, con un 48% del total; NAVANTIA, 18%; TRAGSA, 17%, y ENUSA, 7%. </w:t>
      </w:r>
    </w:p>
    <w:p w:rsidR="0010036F" w:rsidRDefault="0010036F" w:rsidP="00E7166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color w:val="000000"/>
          <w:u w:color="000000"/>
          <w:bdr w:val="nil"/>
          <w:lang w:val="es-ES_tradnl"/>
        </w:rPr>
      </w:pPr>
    </w:p>
    <w:p w:rsidR="00E7166B" w:rsidRDefault="0010036F" w:rsidP="00E7166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color w:val="000000"/>
          <w:u w:color="000000"/>
          <w:bdr w:val="nil"/>
          <w:lang w:val="es-ES_tradnl"/>
        </w:rPr>
      </w:pPr>
      <w:r>
        <w:rPr>
          <w:rFonts w:eastAsia="Cambria" w:cs="Cambria"/>
          <w:color w:val="000000"/>
          <w:u w:color="000000"/>
          <w:bdr w:val="nil"/>
          <w:lang w:val="es-ES_tradnl"/>
        </w:rPr>
        <w:t>Por su parte, l</w:t>
      </w:r>
      <w:r w:rsidR="00613749">
        <w:rPr>
          <w:rFonts w:eastAsia="Cambria" w:cs="Cambria"/>
          <w:color w:val="000000"/>
          <w:u w:color="000000"/>
          <w:bdr w:val="nil"/>
          <w:lang w:val="es-ES_tradnl"/>
        </w:rPr>
        <w:t>os gastos asociados a la actividad del Grupo SEPI fueron de 2.167 millones de euros, u</w:t>
      </w:r>
      <w:r>
        <w:rPr>
          <w:rFonts w:eastAsia="Cambria" w:cs="Cambria"/>
          <w:color w:val="000000"/>
          <w:u w:color="000000"/>
          <w:bdr w:val="nil"/>
          <w:lang w:val="es-ES_tradnl"/>
        </w:rPr>
        <w:t>n 5,2% inferiores a los de 2015. De este importe, un 45% corresponde al Grupo C</w:t>
      </w:r>
      <w:r w:rsidR="007076F8">
        <w:rPr>
          <w:rFonts w:eastAsia="Cambria" w:cs="Cambria"/>
          <w:color w:val="000000"/>
          <w:u w:color="000000"/>
          <w:bdr w:val="nil"/>
          <w:lang w:val="es-ES_tradnl"/>
        </w:rPr>
        <w:t>ORREOS</w:t>
      </w:r>
      <w:r>
        <w:rPr>
          <w:rFonts w:eastAsia="Cambria" w:cs="Cambria"/>
          <w:color w:val="000000"/>
          <w:u w:color="000000"/>
          <w:bdr w:val="nil"/>
          <w:lang w:val="es-ES_tradnl"/>
        </w:rPr>
        <w:t xml:space="preserve">, mientras que por conceptos de gasto, el 53% se refieren a </w:t>
      </w:r>
      <w:r w:rsidR="00613749">
        <w:rPr>
          <w:rFonts w:eastAsia="Cambria" w:cs="Cambria"/>
          <w:color w:val="000000"/>
          <w:u w:color="000000"/>
          <w:bdr w:val="nil"/>
          <w:lang w:val="es-ES_tradnl"/>
        </w:rPr>
        <w:t xml:space="preserve">gastos de personal, </w:t>
      </w:r>
      <w:r>
        <w:rPr>
          <w:rFonts w:eastAsia="Cambria" w:cs="Cambria"/>
          <w:color w:val="000000"/>
          <w:u w:color="000000"/>
          <w:bdr w:val="nil"/>
          <w:lang w:val="es-ES_tradnl"/>
        </w:rPr>
        <w:t xml:space="preserve">el 27% a </w:t>
      </w:r>
      <w:r w:rsidR="00613749">
        <w:rPr>
          <w:rFonts w:eastAsia="Cambria" w:cs="Cambria"/>
          <w:color w:val="000000"/>
          <w:u w:color="000000"/>
          <w:bdr w:val="nil"/>
          <w:lang w:val="es-ES_tradnl"/>
        </w:rPr>
        <w:t>los aprovisionamiento</w:t>
      </w:r>
      <w:r>
        <w:rPr>
          <w:rFonts w:eastAsia="Cambria" w:cs="Cambria"/>
          <w:color w:val="000000"/>
          <w:u w:color="000000"/>
          <w:bdr w:val="nil"/>
          <w:lang w:val="es-ES_tradnl"/>
        </w:rPr>
        <w:t>s</w:t>
      </w:r>
      <w:r w:rsidR="00613749">
        <w:rPr>
          <w:rFonts w:eastAsia="Cambria" w:cs="Cambria"/>
          <w:color w:val="000000"/>
          <w:u w:color="000000"/>
          <w:bdr w:val="nil"/>
          <w:lang w:val="es-ES_tradnl"/>
        </w:rPr>
        <w:t xml:space="preserve"> suponen el 27%,</w:t>
      </w:r>
      <w:r>
        <w:rPr>
          <w:rFonts w:eastAsia="Cambria" w:cs="Cambria"/>
          <w:color w:val="000000"/>
          <w:u w:color="000000"/>
          <w:bdr w:val="nil"/>
          <w:lang w:val="es-ES_tradnl"/>
        </w:rPr>
        <w:t xml:space="preserve"> un 15% a </w:t>
      </w:r>
      <w:r w:rsidR="00613749">
        <w:rPr>
          <w:rFonts w:eastAsia="Cambria" w:cs="Cambria"/>
          <w:color w:val="000000"/>
          <w:u w:color="000000"/>
          <w:bdr w:val="nil"/>
          <w:lang w:val="es-ES_tradnl"/>
        </w:rPr>
        <w:t xml:space="preserve">los servicios exteriores, y el 5% </w:t>
      </w:r>
      <w:r>
        <w:rPr>
          <w:rFonts w:eastAsia="Cambria" w:cs="Cambria"/>
          <w:color w:val="000000"/>
          <w:u w:color="000000"/>
          <w:bdr w:val="nil"/>
          <w:lang w:val="es-ES_tradnl"/>
        </w:rPr>
        <w:t xml:space="preserve">a las amortizaciones y gastos diversos. </w:t>
      </w:r>
    </w:p>
    <w:p w:rsidR="00613749" w:rsidRDefault="00613749" w:rsidP="00E7166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color w:val="000000"/>
          <w:u w:color="000000"/>
          <w:bdr w:val="nil"/>
          <w:lang w:val="es-ES_tradnl"/>
        </w:rPr>
      </w:pPr>
    </w:p>
    <w:p w:rsidR="00613749" w:rsidRPr="004E1E08" w:rsidRDefault="00613749" w:rsidP="00E7166B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both"/>
        <w:rPr>
          <w:rFonts w:eastAsia="Cambria" w:cs="Cambria"/>
          <w:color w:val="000000"/>
          <w:u w:color="000000"/>
          <w:bdr w:val="nil"/>
          <w:lang w:val="es-ES_tradnl"/>
        </w:rPr>
      </w:pPr>
      <w:r>
        <w:rPr>
          <w:rFonts w:eastAsia="Cambria" w:cs="Cambria"/>
          <w:color w:val="000000"/>
          <w:u w:color="000000"/>
          <w:bdr w:val="nil"/>
          <w:lang w:val="es-ES_tradnl"/>
        </w:rPr>
        <w:t>El volumen total de contrataciones de las empresas</w:t>
      </w:r>
      <w:r w:rsidR="0010036F">
        <w:rPr>
          <w:rFonts w:eastAsia="Cambria" w:cs="Cambria"/>
          <w:color w:val="000000"/>
          <w:u w:color="000000"/>
          <w:bdr w:val="nil"/>
          <w:lang w:val="es-ES_tradnl"/>
        </w:rPr>
        <w:t xml:space="preserve"> de producción</w:t>
      </w:r>
      <w:r>
        <w:rPr>
          <w:rFonts w:eastAsia="Cambria" w:cs="Cambria"/>
          <w:color w:val="000000"/>
          <w:u w:color="000000"/>
          <w:bdr w:val="nil"/>
          <w:lang w:val="es-ES_tradnl"/>
        </w:rPr>
        <w:t xml:space="preserve"> del Grupo conseguidas en el primer semestre de 2016 alcanz</w:t>
      </w:r>
      <w:r w:rsidR="00315ED7">
        <w:rPr>
          <w:rFonts w:eastAsia="Cambria" w:cs="Cambria"/>
          <w:color w:val="000000"/>
          <w:u w:color="000000"/>
          <w:bdr w:val="nil"/>
          <w:lang w:val="es-ES_tradnl"/>
        </w:rPr>
        <w:t>ó</w:t>
      </w:r>
      <w:r>
        <w:rPr>
          <w:rFonts w:eastAsia="Cambria" w:cs="Cambria"/>
          <w:color w:val="000000"/>
          <w:u w:color="000000"/>
          <w:bdr w:val="nil"/>
          <w:lang w:val="es-ES_tradnl"/>
        </w:rPr>
        <w:t xml:space="preserve"> un valor de 1.039 millones de euros, lo que situó la</w:t>
      </w:r>
      <w:r w:rsidR="00491FB6">
        <w:rPr>
          <w:rFonts w:eastAsia="Cambria" w:cs="Cambria"/>
          <w:color w:val="000000"/>
          <w:u w:color="000000"/>
          <w:bdr w:val="nil"/>
          <w:lang w:val="es-ES_tradnl"/>
        </w:rPr>
        <w:t xml:space="preserve"> cartera de pedidos acumulada a</w:t>
      </w:r>
      <w:r>
        <w:rPr>
          <w:rFonts w:eastAsia="Cambria" w:cs="Cambria"/>
          <w:color w:val="000000"/>
          <w:u w:color="000000"/>
          <w:bdr w:val="nil"/>
          <w:lang w:val="es-ES_tradnl"/>
        </w:rPr>
        <w:t xml:space="preserve"> 30 de junio en </w:t>
      </w:r>
      <w:r w:rsidR="00491FB6">
        <w:rPr>
          <w:rFonts w:eastAsia="Cambria" w:cs="Cambria"/>
          <w:color w:val="000000"/>
          <w:u w:color="000000"/>
          <w:bdr w:val="nil"/>
          <w:lang w:val="es-ES_tradnl"/>
        </w:rPr>
        <w:t xml:space="preserve">un total de </w:t>
      </w:r>
      <w:r>
        <w:rPr>
          <w:rFonts w:eastAsia="Cambria" w:cs="Cambria"/>
          <w:color w:val="000000"/>
          <w:u w:color="000000"/>
          <w:bdr w:val="nil"/>
          <w:lang w:val="es-ES_tradnl"/>
        </w:rPr>
        <w:t xml:space="preserve">4.542 millones. </w:t>
      </w:r>
      <w:r w:rsidR="00491FB6">
        <w:rPr>
          <w:rFonts w:eastAsia="Cambria" w:cs="Cambria"/>
          <w:color w:val="000000"/>
          <w:u w:color="000000"/>
          <w:bdr w:val="nil"/>
          <w:lang w:val="es-ES_tradnl"/>
        </w:rPr>
        <w:t>En este sentido, d</w:t>
      </w:r>
      <w:r w:rsidR="00315ED7">
        <w:rPr>
          <w:rFonts w:eastAsia="Cambria" w:cs="Cambria"/>
          <w:color w:val="000000"/>
          <w:u w:color="000000"/>
          <w:bdr w:val="nil"/>
          <w:lang w:val="es-ES_tradnl"/>
        </w:rPr>
        <w:t xml:space="preserve">estacan las </w:t>
      </w:r>
      <w:r w:rsidR="002A224D">
        <w:rPr>
          <w:rFonts w:eastAsia="Cambria" w:cs="Cambria"/>
          <w:color w:val="000000"/>
          <w:u w:color="000000"/>
          <w:bdr w:val="nil"/>
          <w:lang w:val="es-ES_tradnl"/>
        </w:rPr>
        <w:t>cartera</w:t>
      </w:r>
      <w:r w:rsidR="00491FB6">
        <w:rPr>
          <w:rFonts w:eastAsia="Cambria" w:cs="Cambria"/>
          <w:color w:val="000000"/>
          <w:u w:color="000000"/>
          <w:bdr w:val="nil"/>
          <w:lang w:val="es-ES_tradnl"/>
        </w:rPr>
        <w:t>s de pedidos del Grupo NAVANTIA con</w:t>
      </w:r>
      <w:r w:rsidR="002A224D">
        <w:rPr>
          <w:rFonts w:eastAsia="Cambria" w:cs="Cambria"/>
          <w:color w:val="000000"/>
          <w:u w:color="000000"/>
          <w:bdr w:val="nil"/>
          <w:lang w:val="es-ES_tradnl"/>
        </w:rPr>
        <w:t xml:space="preserve"> 2.096 millon</w:t>
      </w:r>
      <w:r w:rsidR="00491FB6">
        <w:rPr>
          <w:rFonts w:eastAsia="Cambria" w:cs="Cambria"/>
          <w:color w:val="000000"/>
          <w:u w:color="000000"/>
          <w:bdr w:val="nil"/>
          <w:lang w:val="es-ES_tradnl"/>
        </w:rPr>
        <w:t>es de euros; la del Grupo ENUSA y sus 1.446 millones, o la del Grupo TRAGSA de</w:t>
      </w:r>
      <w:r w:rsidR="002A224D">
        <w:rPr>
          <w:rFonts w:eastAsia="Cambria" w:cs="Cambria"/>
          <w:color w:val="000000"/>
          <w:u w:color="000000"/>
          <w:bdr w:val="nil"/>
          <w:lang w:val="es-ES_tradnl"/>
        </w:rPr>
        <w:t xml:space="preserve"> 699 millones.</w:t>
      </w:r>
      <w:r w:rsidR="00491FB6">
        <w:rPr>
          <w:rFonts w:eastAsia="Cambria" w:cs="Cambria"/>
          <w:color w:val="000000"/>
          <w:u w:color="000000"/>
          <w:bdr w:val="nil"/>
          <w:lang w:val="es-ES_tradnl"/>
        </w:rPr>
        <w:t xml:space="preserve"> El resto de empresas del Grupo supone un total de 301 millones de euros. </w:t>
      </w:r>
      <w:r>
        <w:rPr>
          <w:rFonts w:eastAsia="Cambria" w:cs="Cambria"/>
          <w:color w:val="000000"/>
          <w:u w:color="000000"/>
          <w:bdr w:val="nil"/>
          <w:lang w:val="es-ES_tradnl"/>
        </w:rPr>
        <w:t xml:space="preserve"> </w:t>
      </w:r>
    </w:p>
    <w:p w:rsidR="004E1E08" w:rsidRPr="004E1E08" w:rsidRDefault="004E1E08" w:rsidP="004E1E08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both"/>
        <w:rPr>
          <w:rFonts w:eastAsia="Cambria" w:cs="Cambria"/>
          <w:color w:val="000000"/>
          <w:u w:color="000000"/>
          <w:bdr w:val="nil"/>
          <w:lang w:val="es-ES_tradnl"/>
        </w:rPr>
      </w:pPr>
    </w:p>
    <w:p w:rsidR="004E1E08" w:rsidRPr="004E1E08" w:rsidRDefault="004E1E08" w:rsidP="004E1E08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jc w:val="both"/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/>
        </w:rPr>
      </w:pPr>
      <w:r w:rsidRPr="004E1E08">
        <w:rPr>
          <w:rFonts w:ascii="Times New Roman" w:eastAsia="Arial Unicode MS" w:hAnsi="Times New Roman" w:cs="Arial Unicode MS"/>
          <w:color w:val="000000"/>
          <w:u w:color="000000"/>
          <w:bdr w:val="nil"/>
          <w:lang w:val="es-ES_tradnl"/>
        </w:rPr>
        <w:t>L</w:t>
      </w:r>
      <w:r w:rsidRPr="004E1E08">
        <w:rPr>
          <w:rFonts w:eastAsia="Cambria" w:cs="Cambria"/>
          <w:color w:val="000000"/>
          <w:u w:color="000000"/>
          <w:bdr w:val="nil"/>
          <w:lang w:val="es-ES_tradnl"/>
        </w:rPr>
        <w:t xml:space="preserve">a plantilla </w:t>
      </w:r>
      <w:r w:rsidR="002A224D">
        <w:rPr>
          <w:rFonts w:eastAsia="Cambria" w:cs="Cambria"/>
          <w:color w:val="000000"/>
          <w:u w:color="000000"/>
          <w:bdr w:val="nil"/>
          <w:lang w:val="es-ES_tradnl"/>
        </w:rPr>
        <w:t>total</w:t>
      </w:r>
      <w:r w:rsidRPr="004E1E08">
        <w:rPr>
          <w:rFonts w:eastAsia="Cambria" w:cs="Cambria"/>
          <w:color w:val="000000"/>
          <w:u w:color="000000"/>
          <w:bdr w:val="nil"/>
          <w:lang w:val="es-ES_tradnl"/>
        </w:rPr>
        <w:t xml:space="preserve"> del Grupo SEPI al 3</w:t>
      </w:r>
      <w:r w:rsidR="002A224D">
        <w:rPr>
          <w:rFonts w:eastAsia="Cambria" w:cs="Cambria"/>
          <w:color w:val="000000"/>
          <w:u w:color="000000"/>
          <w:bdr w:val="nil"/>
          <w:lang w:val="es-ES_tradnl"/>
        </w:rPr>
        <w:t>0 de</w:t>
      </w:r>
      <w:r w:rsidRPr="004E1E08">
        <w:rPr>
          <w:rFonts w:eastAsia="Cambria" w:cs="Cambria"/>
          <w:color w:val="000000"/>
          <w:u w:color="000000"/>
          <w:bdr w:val="nil"/>
          <w:lang w:val="es-ES_tradnl"/>
        </w:rPr>
        <w:t xml:space="preserve"> </w:t>
      </w:r>
      <w:r w:rsidR="002A224D">
        <w:rPr>
          <w:rFonts w:eastAsia="Cambria" w:cs="Cambria"/>
          <w:color w:val="000000"/>
          <w:u w:color="000000"/>
          <w:bdr w:val="nil"/>
          <w:lang w:val="es-ES_tradnl"/>
        </w:rPr>
        <w:t>junio de 2016</w:t>
      </w:r>
      <w:r w:rsidRPr="004E1E08">
        <w:rPr>
          <w:rFonts w:eastAsia="Cambria" w:cs="Cambria"/>
          <w:color w:val="000000"/>
          <w:u w:color="000000"/>
          <w:bdr w:val="nil"/>
          <w:lang w:val="es-ES_tradnl"/>
        </w:rPr>
        <w:t xml:space="preserve"> se situó en 7</w:t>
      </w:r>
      <w:r w:rsidR="00491FB6">
        <w:rPr>
          <w:rFonts w:eastAsia="Cambria" w:cs="Cambria"/>
          <w:color w:val="000000"/>
          <w:u w:color="000000"/>
          <w:bdr w:val="nil"/>
          <w:lang w:val="es-ES_tradnl"/>
        </w:rPr>
        <w:t>1.758 personas, de los cuales el 69% corresponde</w:t>
      </w:r>
      <w:r w:rsidR="0027286D">
        <w:rPr>
          <w:rFonts w:eastAsia="Cambria" w:cs="Cambria"/>
          <w:color w:val="000000"/>
          <w:u w:color="000000"/>
          <w:bdr w:val="nil"/>
          <w:lang w:val="es-ES_tradnl"/>
        </w:rPr>
        <w:t>n a CORREOS; el 16% a TRAGSA; u</w:t>
      </w:r>
      <w:r w:rsidR="00491FB6">
        <w:rPr>
          <w:rFonts w:eastAsia="Cambria" w:cs="Cambria"/>
          <w:color w:val="000000"/>
          <w:u w:color="000000"/>
          <w:bdr w:val="nil"/>
          <w:lang w:val="es-ES_tradnl"/>
        </w:rPr>
        <w:t xml:space="preserve">n 8% a NAVANTIA y un 2% a HUNOSA. </w:t>
      </w:r>
    </w:p>
    <w:p w:rsidR="00B53FD6" w:rsidRPr="004E1E08" w:rsidRDefault="00B53FD6">
      <w:pPr>
        <w:jc w:val="both"/>
        <w:rPr>
          <w:lang w:val="es-ES_tradnl"/>
        </w:rPr>
      </w:pPr>
    </w:p>
    <w:sectPr w:rsidR="00B53FD6" w:rsidRPr="004E1E08">
      <w:pgSz w:w="11900" w:h="16840"/>
      <w:pgMar w:top="719" w:right="1701" w:bottom="1079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21" w:rsidRDefault="00352521">
      <w:r>
        <w:separator/>
      </w:r>
    </w:p>
  </w:endnote>
  <w:endnote w:type="continuationSeparator" w:id="0">
    <w:p w:rsidR="00352521" w:rsidRDefault="003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21" w:rsidRDefault="00352521">
      <w:r>
        <w:separator/>
      </w:r>
    </w:p>
  </w:footnote>
  <w:footnote w:type="continuationSeparator" w:id="0">
    <w:p w:rsidR="00352521" w:rsidRDefault="0035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F439A"/>
    <w:multiLevelType w:val="hybridMultilevel"/>
    <w:tmpl w:val="4D646D74"/>
    <w:lvl w:ilvl="0" w:tplc="0C0A0001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47E6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E161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6C6F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CE2F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A815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6B41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4B82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1A252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08"/>
    <w:rsid w:val="00052E2D"/>
    <w:rsid w:val="000B7D5D"/>
    <w:rsid w:val="0010036F"/>
    <w:rsid w:val="00163B84"/>
    <w:rsid w:val="0019290D"/>
    <w:rsid w:val="001C21DB"/>
    <w:rsid w:val="00200F82"/>
    <w:rsid w:val="00205123"/>
    <w:rsid w:val="00221B57"/>
    <w:rsid w:val="0027286D"/>
    <w:rsid w:val="00297A9A"/>
    <w:rsid w:val="002A224D"/>
    <w:rsid w:val="00315ED7"/>
    <w:rsid w:val="003265BE"/>
    <w:rsid w:val="00352521"/>
    <w:rsid w:val="00491FB6"/>
    <w:rsid w:val="004E1E08"/>
    <w:rsid w:val="005B6735"/>
    <w:rsid w:val="005C4E08"/>
    <w:rsid w:val="00613749"/>
    <w:rsid w:val="006A3B0C"/>
    <w:rsid w:val="007076F8"/>
    <w:rsid w:val="007A4EF0"/>
    <w:rsid w:val="007C127E"/>
    <w:rsid w:val="009B01A2"/>
    <w:rsid w:val="00A223B2"/>
    <w:rsid w:val="00A4792C"/>
    <w:rsid w:val="00AF634F"/>
    <w:rsid w:val="00B53FD6"/>
    <w:rsid w:val="00CF5E9E"/>
    <w:rsid w:val="00D43F54"/>
    <w:rsid w:val="00D76268"/>
    <w:rsid w:val="00D90566"/>
    <w:rsid w:val="00DF5CBF"/>
    <w:rsid w:val="00E7166B"/>
    <w:rsid w:val="00EA238E"/>
    <w:rsid w:val="00F174D2"/>
    <w:rsid w:val="00F320BB"/>
    <w:rsid w:val="00F65B88"/>
    <w:rsid w:val="00FB18BB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5AA6E-A811-418C-8D56-DE74CCA6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rsid w:val="004E1E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SEPI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Alises Romero</dc:creator>
  <cp:keywords/>
  <dc:description/>
  <cp:lastModifiedBy>Ramón Alises Romero</cp:lastModifiedBy>
  <cp:revision>2</cp:revision>
  <dcterms:created xsi:type="dcterms:W3CDTF">2016-10-28T11:52:00Z</dcterms:created>
  <dcterms:modified xsi:type="dcterms:W3CDTF">2016-10-28T11:52:00Z</dcterms:modified>
</cp:coreProperties>
</file>