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09" w:rsidRPr="00AB1144" w:rsidRDefault="006E6FD6" w:rsidP="00022F3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Calibri" w:hAnsi="Arial" w:cs="Arial"/>
          <w:b/>
          <w:color w:val="262626" w:themeColor="text1" w:themeTint="D9"/>
          <w:sz w:val="34"/>
          <w:szCs w:val="34"/>
          <w:lang w:val="es-ES_tradnl" w:eastAsia="es-ES"/>
        </w:rPr>
      </w:pPr>
      <w:bookmarkStart w:id="0" w:name="_GoBack"/>
      <w:bookmarkEnd w:id="0"/>
      <w:r w:rsidRPr="00852C7E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BMN </w:t>
      </w:r>
      <w:r w:rsidR="00C15EA7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>alcanza</w:t>
      </w:r>
      <w:r w:rsidR="00E2033D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 un beneficio </w:t>
      </w:r>
      <w:r w:rsidR="001C3519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neto de </w:t>
      </w:r>
      <w:r w:rsidR="00376206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>25</w:t>
      </w:r>
      <w:r w:rsidR="00E2033D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 millones de euros</w:t>
      </w:r>
      <w:r w:rsidR="00376206">
        <w:rPr>
          <w:rFonts w:ascii="Arial" w:hAnsi="Arial" w:cs="Arial"/>
          <w:b/>
          <w:bCs/>
          <w:color w:val="262626"/>
          <w:sz w:val="32"/>
          <w:szCs w:val="32"/>
          <w:lang w:val="es-ES_tradnl" w:eastAsia="es-ES"/>
        </w:rPr>
        <w:t xml:space="preserve"> en el primer trimestre del año</w:t>
      </w:r>
    </w:p>
    <w:p w:rsidR="00022F3E" w:rsidRDefault="00022F3E" w:rsidP="00022F3E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8"/>
          <w:lang w:val="es-ES_tradnl" w:eastAsia="es-ES"/>
        </w:rPr>
      </w:pPr>
    </w:p>
    <w:p w:rsidR="003D6015" w:rsidRPr="00CF2CDD" w:rsidRDefault="00727D1F" w:rsidP="00DA3C87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8"/>
          <w:u w:val="single"/>
          <w:lang w:val="es-ES_tradnl" w:eastAsia="es-ES"/>
        </w:rPr>
      </w:pP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La nueva concesión de créditos </w:t>
      </w:r>
      <w:r w:rsidR="00C15EA7">
        <w:rPr>
          <w:rFonts w:ascii="Arial" w:eastAsia="Calibri" w:hAnsi="Arial" w:cs="Arial"/>
          <w:b/>
          <w:sz w:val="24"/>
          <w:szCs w:val="28"/>
          <w:lang w:val="es-ES_tradnl" w:eastAsia="es-ES"/>
        </w:rPr>
        <w:t>fue de</w:t>
      </w: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713</w:t>
      </w:r>
      <w:r w:rsidR="005376D1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millones</w:t>
      </w:r>
      <w:r w:rsidR="00CE2E5D">
        <w:rPr>
          <w:rFonts w:ascii="Arial" w:eastAsia="Calibri" w:hAnsi="Arial" w:cs="Arial"/>
          <w:b/>
          <w:sz w:val="24"/>
          <w:szCs w:val="28"/>
          <w:lang w:val="es-ES_tradnl" w:eastAsia="es-ES"/>
        </w:rPr>
        <w:t>, de los que 400 se dedicaron a empresas</w:t>
      </w:r>
    </w:p>
    <w:p w:rsidR="00022F3E" w:rsidRDefault="0048103B" w:rsidP="00E2033D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8"/>
          <w:lang w:val="es-ES_tradnl" w:eastAsia="es-ES"/>
        </w:rPr>
      </w:pP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El ratio de capital CET1 </w:t>
      </w:r>
      <w:r w:rsidR="0028539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regulatorio </w:t>
      </w: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se situó </w:t>
      </w:r>
      <w:r w:rsidRPr="00864EAC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en </w:t>
      </w:r>
      <w:r w:rsidR="0028539D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el </w:t>
      </w:r>
      <w:r w:rsidRPr="00864EAC">
        <w:rPr>
          <w:rFonts w:ascii="Arial" w:eastAsia="Calibri" w:hAnsi="Arial" w:cs="Arial"/>
          <w:b/>
          <w:sz w:val="24"/>
          <w:szCs w:val="28"/>
          <w:lang w:val="es-ES_tradnl" w:eastAsia="es-ES"/>
        </w:rPr>
        <w:t>11,</w:t>
      </w:r>
      <w:r w:rsidR="00727D1F">
        <w:rPr>
          <w:rFonts w:ascii="Arial" w:eastAsia="Calibri" w:hAnsi="Arial" w:cs="Arial"/>
          <w:b/>
          <w:sz w:val="24"/>
          <w:szCs w:val="28"/>
          <w:lang w:val="es-ES_tradnl" w:eastAsia="es-ES"/>
        </w:rPr>
        <w:t>3</w:t>
      </w:r>
      <w:r w:rsidRPr="00864EAC">
        <w:rPr>
          <w:rFonts w:ascii="Arial" w:eastAsia="Calibri" w:hAnsi="Arial" w:cs="Arial"/>
          <w:b/>
          <w:sz w:val="24"/>
          <w:szCs w:val="28"/>
          <w:lang w:val="es-ES_tradnl" w:eastAsia="es-ES"/>
        </w:rPr>
        <w:t>%, subiendo</w:t>
      </w: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 </w:t>
      </w:r>
      <w:r w:rsidR="001E67EB"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15 </w:t>
      </w: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 xml:space="preserve">puntos básicos en </w:t>
      </w:r>
      <w:r w:rsidR="00727D1F">
        <w:rPr>
          <w:rFonts w:ascii="Arial" w:eastAsia="Calibri" w:hAnsi="Arial" w:cs="Arial"/>
          <w:b/>
          <w:sz w:val="24"/>
          <w:szCs w:val="28"/>
          <w:lang w:val="es-ES_tradnl" w:eastAsia="es-ES"/>
        </w:rPr>
        <w:t>el trimestre</w:t>
      </w:r>
    </w:p>
    <w:p w:rsidR="00C15EA7" w:rsidRPr="00CF2CDD" w:rsidRDefault="00C15EA7" w:rsidP="00C15EA7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8"/>
          <w:lang w:val="es-ES_tradnl" w:eastAsia="es-ES"/>
        </w:rPr>
      </w:pPr>
      <w:r>
        <w:rPr>
          <w:rFonts w:ascii="Arial" w:eastAsia="Calibri" w:hAnsi="Arial" w:cs="Arial"/>
          <w:b/>
          <w:sz w:val="24"/>
          <w:szCs w:val="28"/>
          <w:lang w:val="es-ES_tradnl" w:eastAsia="es-ES"/>
        </w:rPr>
        <w:t>Los fondos de inversión aceleran su crecimiento con un 29,8% durante el último año hasta los 1.187 millones</w:t>
      </w:r>
    </w:p>
    <w:p w:rsidR="002273B8" w:rsidRPr="00AE5618" w:rsidRDefault="002273B8" w:rsidP="00AE5618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eastAsia="Calibri" w:hAnsi="Arial" w:cs="Arial"/>
          <w:b/>
          <w:color w:val="000080"/>
          <w:sz w:val="24"/>
          <w:szCs w:val="28"/>
          <w:lang w:val="es-ES_tradnl" w:eastAsia="es-ES"/>
        </w:rPr>
      </w:pPr>
    </w:p>
    <w:p w:rsidR="00AE5618" w:rsidRPr="006E0E1B" w:rsidRDefault="00AE5618" w:rsidP="001C3519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6E0E1B">
        <w:rPr>
          <w:rFonts w:ascii="Arial" w:eastAsia="Times New Roman" w:hAnsi="Arial" w:cs="Arial"/>
          <w:b/>
          <w:sz w:val="24"/>
          <w:szCs w:val="24"/>
        </w:rPr>
        <w:t xml:space="preserve">Madrid, </w:t>
      </w:r>
      <w:r w:rsidR="002C74C6" w:rsidRPr="00317932">
        <w:rPr>
          <w:rFonts w:ascii="Arial" w:eastAsia="Times New Roman" w:hAnsi="Arial" w:cs="Arial"/>
          <w:b/>
          <w:sz w:val="24"/>
          <w:szCs w:val="24"/>
        </w:rPr>
        <w:t>20</w:t>
      </w:r>
      <w:r w:rsidR="00727D1F" w:rsidRPr="006E0E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1069" w:rsidRPr="006E0E1B">
        <w:rPr>
          <w:rFonts w:ascii="Arial" w:eastAsia="Times New Roman" w:hAnsi="Arial" w:cs="Arial"/>
          <w:b/>
          <w:sz w:val="24"/>
          <w:szCs w:val="24"/>
        </w:rPr>
        <w:t>de</w:t>
      </w:r>
      <w:r w:rsidR="00D714E1" w:rsidRPr="006E0E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23BA7">
        <w:rPr>
          <w:rFonts w:ascii="Arial" w:eastAsia="Times New Roman" w:hAnsi="Arial" w:cs="Arial"/>
          <w:b/>
          <w:sz w:val="24"/>
          <w:szCs w:val="24"/>
        </w:rPr>
        <w:t>m</w:t>
      </w:r>
      <w:r w:rsidR="00727D1F" w:rsidRPr="006E0E1B">
        <w:rPr>
          <w:rFonts w:ascii="Arial" w:eastAsia="Times New Roman" w:hAnsi="Arial" w:cs="Arial"/>
          <w:b/>
          <w:sz w:val="24"/>
          <w:szCs w:val="24"/>
        </w:rPr>
        <w:t>ayo</w:t>
      </w:r>
      <w:r w:rsidRPr="006E0E1B">
        <w:rPr>
          <w:rFonts w:ascii="Arial" w:eastAsia="Times New Roman" w:hAnsi="Arial" w:cs="Arial"/>
          <w:b/>
          <w:sz w:val="24"/>
          <w:szCs w:val="24"/>
        </w:rPr>
        <w:t xml:space="preserve"> de 201</w:t>
      </w:r>
      <w:r w:rsidR="000276BB" w:rsidRPr="006E0E1B">
        <w:rPr>
          <w:rFonts w:ascii="Arial" w:eastAsia="Times New Roman" w:hAnsi="Arial" w:cs="Arial"/>
          <w:b/>
          <w:sz w:val="24"/>
          <w:szCs w:val="24"/>
        </w:rPr>
        <w:t>6</w:t>
      </w:r>
      <w:r w:rsidR="001C3519" w:rsidRPr="006E0E1B">
        <w:rPr>
          <w:rFonts w:ascii="Arial" w:eastAsia="Times New Roman" w:hAnsi="Arial" w:cs="Arial"/>
          <w:b/>
          <w:sz w:val="24"/>
          <w:szCs w:val="24"/>
        </w:rPr>
        <w:t xml:space="preserve">.- BMN alcanzó un beneficio neto de </w:t>
      </w:r>
      <w:r w:rsidR="00727D1F" w:rsidRPr="006E0E1B">
        <w:rPr>
          <w:rFonts w:ascii="Arial" w:eastAsia="Times New Roman" w:hAnsi="Arial" w:cs="Arial"/>
          <w:b/>
          <w:sz w:val="24"/>
          <w:szCs w:val="24"/>
        </w:rPr>
        <w:t xml:space="preserve">25 millones de euros en </w:t>
      </w:r>
      <w:r w:rsidR="008D373F" w:rsidRPr="006E0E1B">
        <w:rPr>
          <w:rFonts w:ascii="Arial" w:eastAsia="Times New Roman" w:hAnsi="Arial" w:cs="Arial"/>
          <w:b/>
          <w:sz w:val="24"/>
          <w:szCs w:val="24"/>
        </w:rPr>
        <w:t>el primer trimestre de 2016</w:t>
      </w:r>
      <w:r w:rsidR="001C3519" w:rsidRPr="006E0E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97D52" w:rsidRPr="006E0E1B">
        <w:rPr>
          <w:rFonts w:ascii="Arial" w:eastAsia="Times New Roman" w:hAnsi="Arial" w:cs="Arial"/>
          <w:b/>
          <w:sz w:val="24"/>
          <w:szCs w:val="24"/>
        </w:rPr>
        <w:t xml:space="preserve">como consecuencia de las menores dotaciones derivadas de la reducción de la morosidad y </w:t>
      </w:r>
      <w:r w:rsidR="00727D1F" w:rsidRPr="006E0E1B">
        <w:rPr>
          <w:rFonts w:ascii="Arial" w:eastAsia="Times New Roman" w:hAnsi="Arial" w:cs="Arial"/>
          <w:b/>
          <w:sz w:val="24"/>
          <w:szCs w:val="24"/>
        </w:rPr>
        <w:t>a pesar del difícil entorno de tipos de interés</w:t>
      </w:r>
      <w:r w:rsidR="001C3519" w:rsidRPr="006E0E1B">
        <w:rPr>
          <w:rFonts w:ascii="Arial" w:eastAsia="Times New Roman" w:hAnsi="Arial" w:cs="Arial"/>
          <w:b/>
          <w:sz w:val="24"/>
          <w:szCs w:val="24"/>
        </w:rPr>
        <w:t>.</w:t>
      </w:r>
    </w:p>
    <w:p w:rsidR="00FD0363" w:rsidRPr="006E0E1B" w:rsidRDefault="005376D1" w:rsidP="00FD0363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t>P</w:t>
      </w:r>
      <w:r w:rsidR="00914524" w:rsidRPr="006E0E1B">
        <w:rPr>
          <w:rFonts w:ascii="Arial" w:eastAsia="Times New Roman" w:hAnsi="Arial" w:cs="Arial"/>
          <w:szCs w:val="24"/>
        </w:rPr>
        <w:t>es</w:t>
      </w:r>
      <w:r w:rsidRPr="006E0E1B">
        <w:rPr>
          <w:rFonts w:ascii="Arial" w:eastAsia="Times New Roman" w:hAnsi="Arial" w:cs="Arial"/>
          <w:szCs w:val="24"/>
        </w:rPr>
        <w:t>e a esa</w:t>
      </w:r>
      <w:r w:rsidR="00914524" w:rsidRPr="006E0E1B">
        <w:rPr>
          <w:rFonts w:ascii="Arial" w:eastAsia="Times New Roman" w:hAnsi="Arial" w:cs="Arial"/>
          <w:szCs w:val="24"/>
        </w:rPr>
        <w:t xml:space="preserve"> situación de reducidos tipos de interés, el margen</w:t>
      </w:r>
      <w:r w:rsidR="008C2D64" w:rsidRPr="006E0E1B">
        <w:rPr>
          <w:rFonts w:ascii="Arial" w:eastAsia="Times New Roman" w:hAnsi="Arial" w:cs="Arial"/>
          <w:szCs w:val="24"/>
        </w:rPr>
        <w:t xml:space="preserve"> </w:t>
      </w:r>
      <w:r w:rsidR="006E0E1B">
        <w:rPr>
          <w:rFonts w:ascii="Arial" w:eastAsia="Times New Roman" w:hAnsi="Arial" w:cs="Arial"/>
          <w:szCs w:val="24"/>
        </w:rPr>
        <w:t>financiero -d</w:t>
      </w:r>
      <w:r w:rsidR="00914524" w:rsidRPr="006E0E1B">
        <w:rPr>
          <w:rFonts w:ascii="Arial" w:eastAsia="Times New Roman" w:hAnsi="Arial" w:cs="Arial"/>
          <w:szCs w:val="24"/>
        </w:rPr>
        <w:t>escontando el efecto de los menores ingresos por la cartera de renta fija</w:t>
      </w:r>
      <w:r w:rsidR="00CE2E5D" w:rsidRPr="006E0E1B">
        <w:rPr>
          <w:rFonts w:ascii="Arial" w:eastAsia="Times New Roman" w:hAnsi="Arial" w:cs="Arial"/>
          <w:szCs w:val="24"/>
        </w:rPr>
        <w:t xml:space="preserve"> y del bono Sareb</w:t>
      </w:r>
      <w:r w:rsidR="00914524" w:rsidRPr="006E0E1B">
        <w:rPr>
          <w:rFonts w:ascii="Arial" w:eastAsia="Times New Roman" w:hAnsi="Arial" w:cs="Arial"/>
          <w:szCs w:val="24"/>
        </w:rPr>
        <w:t xml:space="preserve">– se </w:t>
      </w:r>
      <w:r w:rsidR="007A3146" w:rsidRPr="006E0E1B">
        <w:rPr>
          <w:rFonts w:ascii="Arial" w:eastAsia="Times New Roman" w:hAnsi="Arial" w:cs="Arial"/>
          <w:szCs w:val="24"/>
        </w:rPr>
        <w:t xml:space="preserve">incrementa </w:t>
      </w:r>
      <w:r w:rsidR="00914524" w:rsidRPr="006E0E1B">
        <w:rPr>
          <w:rFonts w:ascii="Arial" w:eastAsia="Times New Roman" w:hAnsi="Arial" w:cs="Arial"/>
          <w:szCs w:val="24"/>
        </w:rPr>
        <w:t xml:space="preserve">un </w:t>
      </w:r>
      <w:r w:rsidR="00727D1F" w:rsidRPr="006E0E1B">
        <w:rPr>
          <w:rFonts w:ascii="Arial" w:eastAsia="Times New Roman" w:hAnsi="Arial" w:cs="Arial"/>
          <w:szCs w:val="24"/>
        </w:rPr>
        <w:t>3</w:t>
      </w:r>
      <w:r w:rsidR="006F08B2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6</w:t>
      </w:r>
      <w:r w:rsidR="00914524" w:rsidRPr="006E0E1B">
        <w:rPr>
          <w:rFonts w:ascii="Arial" w:eastAsia="Times New Roman" w:hAnsi="Arial" w:cs="Arial"/>
          <w:szCs w:val="24"/>
        </w:rPr>
        <w:t>%</w:t>
      </w:r>
      <w:r w:rsidR="00332764" w:rsidRPr="006E0E1B">
        <w:rPr>
          <w:rFonts w:ascii="Arial" w:eastAsia="Times New Roman" w:hAnsi="Arial" w:cs="Arial"/>
          <w:szCs w:val="24"/>
        </w:rPr>
        <w:t>.</w:t>
      </w:r>
      <w:r w:rsidR="00914524" w:rsidRPr="006E0E1B">
        <w:rPr>
          <w:rFonts w:ascii="Arial" w:eastAsia="Times New Roman" w:hAnsi="Arial" w:cs="Arial"/>
          <w:szCs w:val="24"/>
        </w:rPr>
        <w:t xml:space="preserve"> </w:t>
      </w:r>
      <w:r w:rsidR="007E0586" w:rsidRPr="006E0E1B">
        <w:rPr>
          <w:rFonts w:ascii="Arial" w:eastAsia="Times New Roman" w:hAnsi="Arial" w:cs="Arial"/>
          <w:szCs w:val="24"/>
        </w:rPr>
        <w:t xml:space="preserve">El margen de intereses asciende a </w:t>
      </w:r>
      <w:r w:rsidR="00727D1F" w:rsidRPr="006E0E1B">
        <w:rPr>
          <w:rFonts w:ascii="Arial" w:eastAsia="Times New Roman" w:hAnsi="Arial" w:cs="Arial"/>
          <w:szCs w:val="24"/>
        </w:rPr>
        <w:t>99</w:t>
      </w:r>
      <w:r w:rsidR="007E0586" w:rsidRPr="006E0E1B">
        <w:rPr>
          <w:rFonts w:ascii="Arial" w:eastAsia="Times New Roman" w:hAnsi="Arial" w:cs="Arial"/>
          <w:szCs w:val="24"/>
        </w:rPr>
        <w:t xml:space="preserve"> millones de euros, lo que representa el </w:t>
      </w:r>
      <w:r w:rsidR="00727D1F" w:rsidRPr="006E0E1B">
        <w:rPr>
          <w:rFonts w:ascii="Arial" w:eastAsia="Times New Roman" w:hAnsi="Arial" w:cs="Arial"/>
          <w:szCs w:val="24"/>
        </w:rPr>
        <w:t>0</w:t>
      </w:r>
      <w:r w:rsidR="007E0586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97</w:t>
      </w:r>
      <w:r w:rsidR="007E0586" w:rsidRPr="006E0E1B">
        <w:rPr>
          <w:rFonts w:ascii="Arial" w:eastAsia="Times New Roman" w:hAnsi="Arial" w:cs="Arial"/>
          <w:szCs w:val="24"/>
        </w:rPr>
        <w:t xml:space="preserve">% de </w:t>
      </w:r>
      <w:r w:rsidR="00E80E1F" w:rsidRPr="006E0E1B">
        <w:rPr>
          <w:rFonts w:ascii="Arial" w:eastAsia="Times New Roman" w:hAnsi="Arial" w:cs="Arial"/>
          <w:szCs w:val="24"/>
        </w:rPr>
        <w:t>lo</w:t>
      </w:r>
      <w:r w:rsidR="007E0586" w:rsidRPr="006E0E1B">
        <w:rPr>
          <w:rFonts w:ascii="Arial" w:eastAsia="Times New Roman" w:hAnsi="Arial" w:cs="Arial"/>
          <w:szCs w:val="24"/>
        </w:rPr>
        <w:t>s activos totales medios.</w:t>
      </w:r>
      <w:r w:rsidR="00E80E1F" w:rsidRPr="006E0E1B">
        <w:rPr>
          <w:rFonts w:ascii="Arial" w:eastAsia="Times New Roman" w:hAnsi="Arial" w:cs="Arial"/>
          <w:szCs w:val="24"/>
        </w:rPr>
        <w:t xml:space="preserve"> Aunque se ha producido una caída </w:t>
      </w:r>
      <w:r w:rsidR="00E53723">
        <w:rPr>
          <w:rFonts w:ascii="Arial" w:eastAsia="Times New Roman" w:hAnsi="Arial" w:cs="Arial"/>
          <w:szCs w:val="24"/>
        </w:rPr>
        <w:t xml:space="preserve">sectorial </w:t>
      </w:r>
      <w:r w:rsidR="00E80E1F" w:rsidRPr="006E0E1B">
        <w:rPr>
          <w:rFonts w:ascii="Arial" w:eastAsia="Times New Roman" w:hAnsi="Arial" w:cs="Arial"/>
          <w:szCs w:val="24"/>
        </w:rPr>
        <w:t>generalizada de los márgenes, la buena gestión del negocio minorista ha permitido que</w:t>
      </w:r>
      <w:r w:rsidR="003413BF" w:rsidRPr="006E0E1B">
        <w:rPr>
          <w:rFonts w:ascii="Arial" w:eastAsia="Times New Roman" w:hAnsi="Arial" w:cs="Arial"/>
          <w:szCs w:val="24"/>
        </w:rPr>
        <w:t xml:space="preserve"> </w:t>
      </w:r>
      <w:r w:rsidR="00E80E1F" w:rsidRPr="006E0E1B">
        <w:rPr>
          <w:rFonts w:ascii="Arial" w:eastAsia="Times New Roman" w:hAnsi="Arial" w:cs="Arial"/>
          <w:szCs w:val="24"/>
        </w:rPr>
        <w:t>e</w:t>
      </w:r>
      <w:r w:rsidR="003413BF" w:rsidRPr="006E0E1B">
        <w:rPr>
          <w:rFonts w:ascii="Arial" w:eastAsia="Times New Roman" w:hAnsi="Arial" w:cs="Arial"/>
          <w:szCs w:val="24"/>
        </w:rPr>
        <w:t xml:space="preserve">l margen de clientes </w:t>
      </w:r>
      <w:r w:rsidR="00897D52" w:rsidRPr="006E0E1B">
        <w:rPr>
          <w:rFonts w:ascii="Arial" w:eastAsia="Times New Roman" w:hAnsi="Arial" w:cs="Arial"/>
          <w:szCs w:val="24"/>
        </w:rPr>
        <w:t xml:space="preserve">se </w:t>
      </w:r>
      <w:r w:rsidR="003413BF" w:rsidRPr="006E0E1B">
        <w:rPr>
          <w:rFonts w:ascii="Arial" w:eastAsia="Times New Roman" w:hAnsi="Arial" w:cs="Arial"/>
          <w:szCs w:val="24"/>
        </w:rPr>
        <w:t xml:space="preserve"> </w:t>
      </w:r>
      <w:r w:rsidR="00E80E1F" w:rsidRPr="006E0E1B">
        <w:rPr>
          <w:rFonts w:ascii="Arial" w:eastAsia="Times New Roman" w:hAnsi="Arial" w:cs="Arial"/>
          <w:szCs w:val="24"/>
        </w:rPr>
        <w:t>mantenga</w:t>
      </w:r>
      <w:r w:rsidR="00897D52" w:rsidRPr="006E0E1B">
        <w:rPr>
          <w:rFonts w:ascii="Arial" w:eastAsia="Times New Roman" w:hAnsi="Arial" w:cs="Arial"/>
          <w:szCs w:val="24"/>
        </w:rPr>
        <w:t xml:space="preserve"> </w:t>
      </w:r>
      <w:r w:rsidR="001C3519" w:rsidRPr="006E0E1B">
        <w:rPr>
          <w:rFonts w:ascii="Arial" w:eastAsia="Times New Roman" w:hAnsi="Arial" w:cs="Arial"/>
          <w:szCs w:val="24"/>
        </w:rPr>
        <w:t xml:space="preserve">en el </w:t>
      </w:r>
      <w:r w:rsidR="00E80E1F" w:rsidRPr="006E0E1B">
        <w:rPr>
          <w:rFonts w:ascii="Arial" w:eastAsia="Times New Roman" w:hAnsi="Arial" w:cs="Arial"/>
          <w:szCs w:val="24"/>
        </w:rPr>
        <w:t>2</w:t>
      </w:r>
      <w:r w:rsidR="00A77CFB" w:rsidRPr="006E0E1B">
        <w:rPr>
          <w:rFonts w:ascii="Arial" w:eastAsia="Times New Roman" w:hAnsi="Arial" w:cs="Arial"/>
          <w:szCs w:val="24"/>
        </w:rPr>
        <w:t>,</w:t>
      </w:r>
      <w:r w:rsidR="00E80E1F" w:rsidRPr="006E0E1B">
        <w:rPr>
          <w:rFonts w:ascii="Arial" w:eastAsia="Times New Roman" w:hAnsi="Arial" w:cs="Arial"/>
          <w:szCs w:val="24"/>
        </w:rPr>
        <w:t>1</w:t>
      </w:r>
      <w:r w:rsidR="003413BF" w:rsidRPr="006E0E1B">
        <w:rPr>
          <w:rFonts w:ascii="Arial" w:eastAsia="Times New Roman" w:hAnsi="Arial" w:cs="Arial"/>
          <w:szCs w:val="24"/>
        </w:rPr>
        <w:t>%</w:t>
      </w:r>
      <w:r w:rsidR="00E80E1F" w:rsidRPr="006E0E1B">
        <w:rPr>
          <w:rFonts w:ascii="Arial" w:eastAsia="Times New Roman" w:hAnsi="Arial" w:cs="Arial"/>
          <w:szCs w:val="24"/>
        </w:rPr>
        <w:t xml:space="preserve"> respecto al trimestre anterior, situándose</w:t>
      </w:r>
      <w:r w:rsidR="00897D52" w:rsidRPr="006E0E1B">
        <w:rPr>
          <w:rFonts w:ascii="Arial" w:eastAsia="Times New Roman" w:hAnsi="Arial" w:cs="Arial"/>
          <w:szCs w:val="24"/>
        </w:rPr>
        <w:t xml:space="preserve"> </w:t>
      </w:r>
      <w:r w:rsidR="001C3519" w:rsidRPr="006E0E1B">
        <w:rPr>
          <w:rFonts w:ascii="Arial" w:eastAsia="Times New Roman" w:hAnsi="Arial" w:cs="Arial"/>
          <w:szCs w:val="24"/>
        </w:rPr>
        <w:t xml:space="preserve">entre los </w:t>
      </w:r>
      <w:r w:rsidR="00221EBB" w:rsidRPr="006E0E1B">
        <w:rPr>
          <w:rFonts w:ascii="Arial" w:eastAsia="Times New Roman" w:hAnsi="Arial" w:cs="Arial"/>
          <w:szCs w:val="24"/>
        </w:rPr>
        <w:t>más elevados</w:t>
      </w:r>
      <w:r w:rsidR="001C3519" w:rsidRPr="006E0E1B">
        <w:rPr>
          <w:rFonts w:ascii="Arial" w:eastAsia="Times New Roman" w:hAnsi="Arial" w:cs="Arial"/>
          <w:szCs w:val="24"/>
        </w:rPr>
        <w:t xml:space="preserve"> del sector</w:t>
      </w:r>
      <w:r w:rsidR="00B74865" w:rsidRPr="006E0E1B">
        <w:rPr>
          <w:rFonts w:ascii="Arial" w:eastAsia="Times New Roman" w:hAnsi="Arial" w:cs="Arial"/>
          <w:szCs w:val="24"/>
        </w:rPr>
        <w:t>.</w:t>
      </w:r>
      <w:r w:rsidR="003413BF" w:rsidRPr="006E0E1B">
        <w:rPr>
          <w:rFonts w:ascii="Arial" w:eastAsia="Times New Roman" w:hAnsi="Arial" w:cs="Arial"/>
          <w:szCs w:val="24"/>
        </w:rPr>
        <w:t xml:space="preserve"> </w:t>
      </w:r>
    </w:p>
    <w:p w:rsidR="00897D52" w:rsidRPr="006E0E1B" w:rsidRDefault="0087790C" w:rsidP="00EA0EF8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t>Las</w:t>
      </w:r>
      <w:r w:rsidR="006E6FD6" w:rsidRPr="006E0E1B">
        <w:rPr>
          <w:rFonts w:ascii="Arial" w:eastAsia="Times New Roman" w:hAnsi="Arial" w:cs="Arial"/>
          <w:szCs w:val="24"/>
        </w:rPr>
        <w:t xml:space="preserve"> comisiones netas </w:t>
      </w:r>
      <w:r w:rsidR="007E0586" w:rsidRPr="006E0E1B">
        <w:rPr>
          <w:rFonts w:ascii="Arial" w:eastAsia="Times New Roman" w:hAnsi="Arial" w:cs="Arial"/>
          <w:szCs w:val="24"/>
        </w:rPr>
        <w:t>suman</w:t>
      </w:r>
      <w:r w:rsidRPr="006E0E1B">
        <w:rPr>
          <w:rFonts w:ascii="Arial" w:eastAsia="Times New Roman" w:hAnsi="Arial" w:cs="Arial"/>
          <w:szCs w:val="24"/>
        </w:rPr>
        <w:t xml:space="preserve"> </w:t>
      </w:r>
      <w:r w:rsidR="00727D1F" w:rsidRPr="006E0E1B">
        <w:rPr>
          <w:rFonts w:ascii="Arial" w:eastAsia="Times New Roman" w:hAnsi="Arial" w:cs="Arial"/>
          <w:szCs w:val="24"/>
        </w:rPr>
        <w:t>52</w:t>
      </w:r>
      <w:r w:rsidRPr="006E0E1B">
        <w:rPr>
          <w:rFonts w:ascii="Arial" w:eastAsia="Times New Roman" w:hAnsi="Arial" w:cs="Arial"/>
          <w:szCs w:val="24"/>
        </w:rPr>
        <w:t xml:space="preserve"> millones</w:t>
      </w:r>
      <w:r w:rsidR="005376D1" w:rsidRPr="006E0E1B">
        <w:rPr>
          <w:rFonts w:ascii="Arial" w:eastAsia="Times New Roman" w:hAnsi="Arial" w:cs="Arial"/>
          <w:szCs w:val="24"/>
        </w:rPr>
        <w:t xml:space="preserve"> de euros</w:t>
      </w:r>
      <w:r w:rsidRPr="006E0E1B">
        <w:rPr>
          <w:rFonts w:ascii="Arial" w:eastAsia="Times New Roman" w:hAnsi="Arial" w:cs="Arial"/>
          <w:szCs w:val="24"/>
        </w:rPr>
        <w:t xml:space="preserve">, </w:t>
      </w:r>
      <w:r w:rsidR="00CE2E5D" w:rsidRPr="006E0E1B">
        <w:rPr>
          <w:rFonts w:ascii="Arial" w:eastAsia="Times New Roman" w:hAnsi="Arial" w:cs="Arial"/>
          <w:szCs w:val="24"/>
        </w:rPr>
        <w:t xml:space="preserve">un 12% </w:t>
      </w:r>
      <w:r w:rsidR="00897D52" w:rsidRPr="006E0E1B">
        <w:rPr>
          <w:rFonts w:ascii="Arial" w:eastAsia="Times New Roman" w:hAnsi="Arial" w:cs="Arial"/>
          <w:szCs w:val="24"/>
        </w:rPr>
        <w:t xml:space="preserve">más como consecuencia, </w:t>
      </w:r>
      <w:r w:rsidR="00CE2E5D" w:rsidRPr="006E0E1B">
        <w:rPr>
          <w:rFonts w:ascii="Arial" w:eastAsia="Times New Roman" w:hAnsi="Arial" w:cs="Arial"/>
          <w:szCs w:val="24"/>
        </w:rPr>
        <w:t xml:space="preserve">entre otros, </w:t>
      </w:r>
      <w:r w:rsidR="00897D52" w:rsidRPr="006E0E1B">
        <w:rPr>
          <w:rFonts w:ascii="Arial" w:eastAsia="Times New Roman" w:hAnsi="Arial" w:cs="Arial"/>
          <w:szCs w:val="24"/>
        </w:rPr>
        <w:t>d</w:t>
      </w:r>
      <w:r w:rsidR="00CE2E5D" w:rsidRPr="006E0E1B">
        <w:rPr>
          <w:rFonts w:ascii="Arial" w:eastAsia="Times New Roman" w:hAnsi="Arial" w:cs="Arial"/>
          <w:szCs w:val="24"/>
        </w:rPr>
        <w:t xml:space="preserve">el crecimiento de los fondos de inversión, que </w:t>
      </w:r>
      <w:r w:rsidR="008D373F" w:rsidRPr="006E0E1B">
        <w:rPr>
          <w:rFonts w:ascii="Arial" w:eastAsia="Times New Roman" w:hAnsi="Arial" w:cs="Arial"/>
          <w:szCs w:val="24"/>
        </w:rPr>
        <w:t>se incrementan</w:t>
      </w:r>
      <w:r w:rsidR="00CE2E5D" w:rsidRPr="006E0E1B">
        <w:rPr>
          <w:rFonts w:ascii="Arial" w:eastAsia="Times New Roman" w:hAnsi="Arial" w:cs="Arial"/>
          <w:szCs w:val="24"/>
        </w:rPr>
        <w:t xml:space="preserve"> cerca de un </w:t>
      </w:r>
      <w:r w:rsidR="001E67EB">
        <w:rPr>
          <w:rFonts w:ascii="Arial" w:eastAsia="Times New Roman" w:hAnsi="Arial" w:cs="Arial"/>
          <w:szCs w:val="24"/>
        </w:rPr>
        <w:t>30</w:t>
      </w:r>
      <w:r w:rsidR="00CE2E5D" w:rsidRPr="006E0E1B">
        <w:rPr>
          <w:rFonts w:ascii="Arial" w:eastAsia="Times New Roman" w:hAnsi="Arial" w:cs="Arial"/>
          <w:szCs w:val="24"/>
        </w:rPr>
        <w:t xml:space="preserve">% en </w:t>
      </w:r>
      <w:r w:rsidR="00BE64F3">
        <w:rPr>
          <w:rFonts w:ascii="Arial" w:eastAsia="Times New Roman" w:hAnsi="Arial" w:cs="Arial"/>
          <w:szCs w:val="24"/>
        </w:rPr>
        <w:t>los últimos 12 meses</w:t>
      </w:r>
      <w:r w:rsidR="00CE2E5D" w:rsidRPr="006E0E1B">
        <w:rPr>
          <w:rFonts w:ascii="Arial" w:eastAsia="Times New Roman" w:hAnsi="Arial" w:cs="Arial"/>
          <w:szCs w:val="24"/>
        </w:rPr>
        <w:t>.</w:t>
      </w:r>
      <w:r w:rsidRPr="006E0E1B">
        <w:rPr>
          <w:rFonts w:ascii="Arial" w:eastAsia="Times New Roman" w:hAnsi="Arial" w:cs="Arial"/>
          <w:szCs w:val="24"/>
        </w:rPr>
        <w:t xml:space="preserve"> </w:t>
      </w:r>
      <w:r w:rsidR="00897D52" w:rsidRPr="006E0E1B">
        <w:rPr>
          <w:rFonts w:ascii="Arial" w:eastAsia="Times New Roman" w:hAnsi="Arial" w:cs="Arial"/>
          <w:szCs w:val="24"/>
        </w:rPr>
        <w:t>Por su parte, l</w:t>
      </w:r>
      <w:r w:rsidR="00CE2E5D" w:rsidRPr="006E0E1B">
        <w:rPr>
          <w:rFonts w:ascii="Arial" w:eastAsia="Times New Roman" w:hAnsi="Arial" w:cs="Arial"/>
          <w:szCs w:val="24"/>
        </w:rPr>
        <w:t>os resultados de operaciones financieras suponen</w:t>
      </w:r>
      <w:r w:rsidR="006E6FD6" w:rsidRPr="006E0E1B">
        <w:rPr>
          <w:rFonts w:ascii="Arial" w:eastAsia="Times New Roman" w:hAnsi="Arial" w:cs="Arial"/>
          <w:szCs w:val="24"/>
        </w:rPr>
        <w:t xml:space="preserve"> </w:t>
      </w:r>
      <w:r w:rsidR="00727D1F" w:rsidRPr="006E0E1B">
        <w:rPr>
          <w:rFonts w:ascii="Arial" w:eastAsia="Times New Roman" w:hAnsi="Arial" w:cs="Arial"/>
          <w:szCs w:val="24"/>
        </w:rPr>
        <w:t>26</w:t>
      </w:r>
      <w:r w:rsidR="00363DD2" w:rsidRPr="006E0E1B">
        <w:rPr>
          <w:rFonts w:ascii="Arial" w:eastAsia="Times New Roman" w:hAnsi="Arial" w:cs="Arial"/>
          <w:szCs w:val="24"/>
        </w:rPr>
        <w:t xml:space="preserve"> millones</w:t>
      </w:r>
      <w:r w:rsidR="005376D1" w:rsidRPr="006E0E1B">
        <w:rPr>
          <w:rFonts w:ascii="Arial" w:eastAsia="Times New Roman" w:hAnsi="Arial" w:cs="Arial"/>
          <w:szCs w:val="24"/>
        </w:rPr>
        <w:t xml:space="preserve"> de euros</w:t>
      </w:r>
      <w:r w:rsidR="00CE2E5D" w:rsidRPr="006E0E1B">
        <w:rPr>
          <w:rFonts w:ascii="Arial" w:eastAsia="Times New Roman" w:hAnsi="Arial" w:cs="Arial"/>
          <w:szCs w:val="24"/>
        </w:rPr>
        <w:t xml:space="preserve">. </w:t>
      </w:r>
    </w:p>
    <w:p w:rsidR="00CE2E5D" w:rsidRPr="006E0E1B" w:rsidRDefault="00CE2E5D" w:rsidP="00EA0EF8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t xml:space="preserve">En cuanto a los gastos operativos, se produce una destacada disminución con respecto a 2015, </w:t>
      </w:r>
      <w:r w:rsidR="00897D52" w:rsidRPr="006E0E1B">
        <w:rPr>
          <w:rFonts w:ascii="Arial" w:eastAsia="Times New Roman" w:hAnsi="Arial" w:cs="Arial"/>
          <w:szCs w:val="24"/>
        </w:rPr>
        <w:t xml:space="preserve">apoyada en </w:t>
      </w:r>
      <w:r w:rsidRPr="006E0E1B">
        <w:rPr>
          <w:rFonts w:ascii="Arial" w:eastAsia="Times New Roman" w:hAnsi="Arial" w:cs="Arial"/>
          <w:szCs w:val="24"/>
        </w:rPr>
        <w:t>el esfuerzo de r</w:t>
      </w:r>
      <w:r w:rsidR="00C15EA7" w:rsidRPr="006E0E1B">
        <w:rPr>
          <w:rFonts w:ascii="Arial" w:eastAsia="Times New Roman" w:hAnsi="Arial" w:cs="Arial"/>
          <w:szCs w:val="24"/>
        </w:rPr>
        <w:t>eestructuración adicional que</w:t>
      </w:r>
      <w:r w:rsidRPr="006E0E1B">
        <w:rPr>
          <w:rFonts w:ascii="Arial" w:eastAsia="Times New Roman" w:hAnsi="Arial" w:cs="Arial"/>
          <w:szCs w:val="24"/>
        </w:rPr>
        <w:t xml:space="preserve"> está llevando a cabo </w:t>
      </w:r>
      <w:r w:rsidR="00C15EA7" w:rsidRPr="006E0E1B">
        <w:rPr>
          <w:rFonts w:ascii="Arial" w:eastAsia="Times New Roman" w:hAnsi="Arial" w:cs="Arial"/>
          <w:szCs w:val="24"/>
        </w:rPr>
        <w:t xml:space="preserve">la entidad </w:t>
      </w:r>
      <w:r w:rsidRPr="006E0E1B">
        <w:rPr>
          <w:rFonts w:ascii="Arial" w:eastAsia="Times New Roman" w:hAnsi="Arial" w:cs="Arial"/>
          <w:szCs w:val="24"/>
        </w:rPr>
        <w:t>durante el último año (reducción de oficinas</w:t>
      </w:r>
      <w:r w:rsidR="00C15EA7" w:rsidRPr="006E0E1B">
        <w:rPr>
          <w:rFonts w:ascii="Arial" w:eastAsia="Times New Roman" w:hAnsi="Arial" w:cs="Arial"/>
          <w:szCs w:val="24"/>
        </w:rPr>
        <w:t xml:space="preserve"> por racionalización de la red comercial</w:t>
      </w:r>
      <w:r w:rsidRPr="006E0E1B">
        <w:rPr>
          <w:rFonts w:ascii="Arial" w:eastAsia="Times New Roman" w:hAnsi="Arial" w:cs="Arial"/>
          <w:szCs w:val="24"/>
        </w:rPr>
        <w:t>), así como de la reorganización y relocalización de los servicios centrales y las diversas áreas operativas.</w:t>
      </w:r>
    </w:p>
    <w:p w:rsidR="000823E3" w:rsidRPr="006E0E1B" w:rsidRDefault="00CE2E5D" w:rsidP="00EA0EF8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t xml:space="preserve">Todo ello hace </w:t>
      </w:r>
      <w:r w:rsidR="00837AFE" w:rsidRPr="006E0E1B">
        <w:rPr>
          <w:rFonts w:ascii="Arial" w:eastAsia="Times New Roman" w:hAnsi="Arial" w:cs="Arial"/>
          <w:szCs w:val="24"/>
        </w:rPr>
        <w:t>sit</w:t>
      </w:r>
      <w:r w:rsidRPr="006E0E1B">
        <w:rPr>
          <w:rFonts w:ascii="Arial" w:eastAsia="Times New Roman" w:hAnsi="Arial" w:cs="Arial"/>
          <w:szCs w:val="24"/>
        </w:rPr>
        <w:t>u</w:t>
      </w:r>
      <w:r w:rsidR="00837AFE" w:rsidRPr="006E0E1B">
        <w:rPr>
          <w:rFonts w:ascii="Arial" w:eastAsia="Times New Roman" w:hAnsi="Arial" w:cs="Arial"/>
          <w:szCs w:val="24"/>
        </w:rPr>
        <w:t>a</w:t>
      </w:r>
      <w:r w:rsidRPr="006E0E1B">
        <w:rPr>
          <w:rFonts w:ascii="Arial" w:eastAsia="Times New Roman" w:hAnsi="Arial" w:cs="Arial"/>
          <w:szCs w:val="24"/>
        </w:rPr>
        <w:t>r</w:t>
      </w:r>
      <w:r w:rsidR="00837AFE" w:rsidRPr="006E0E1B">
        <w:rPr>
          <w:rFonts w:ascii="Arial" w:eastAsia="Times New Roman" w:hAnsi="Arial" w:cs="Arial"/>
          <w:szCs w:val="24"/>
        </w:rPr>
        <w:t xml:space="preserve"> </w:t>
      </w:r>
      <w:r w:rsidR="00363DD2" w:rsidRPr="006E0E1B">
        <w:rPr>
          <w:rFonts w:ascii="Arial" w:eastAsia="Times New Roman" w:hAnsi="Arial" w:cs="Arial"/>
          <w:szCs w:val="24"/>
        </w:rPr>
        <w:t xml:space="preserve">el margen </w:t>
      </w:r>
      <w:r w:rsidR="00F85CA3" w:rsidRPr="006E0E1B">
        <w:rPr>
          <w:rFonts w:ascii="Arial" w:eastAsia="Times New Roman" w:hAnsi="Arial" w:cs="Arial"/>
          <w:szCs w:val="24"/>
        </w:rPr>
        <w:t xml:space="preserve">bruto </w:t>
      </w:r>
      <w:r w:rsidR="00837AFE" w:rsidRPr="006E0E1B">
        <w:rPr>
          <w:rFonts w:ascii="Arial" w:eastAsia="Times New Roman" w:hAnsi="Arial" w:cs="Arial"/>
          <w:szCs w:val="24"/>
        </w:rPr>
        <w:t>en</w:t>
      </w:r>
      <w:r w:rsidR="00F85CA3" w:rsidRPr="006E0E1B">
        <w:rPr>
          <w:rFonts w:ascii="Arial" w:eastAsia="Times New Roman" w:hAnsi="Arial" w:cs="Arial"/>
          <w:szCs w:val="24"/>
        </w:rPr>
        <w:t xml:space="preserve"> </w:t>
      </w:r>
      <w:r w:rsidR="00727D1F" w:rsidRPr="006E0E1B">
        <w:rPr>
          <w:rFonts w:ascii="Arial" w:eastAsia="Times New Roman" w:hAnsi="Arial" w:cs="Arial"/>
          <w:szCs w:val="24"/>
        </w:rPr>
        <w:t>192</w:t>
      </w:r>
      <w:r w:rsidR="00F85CA3" w:rsidRPr="006E0E1B">
        <w:rPr>
          <w:rFonts w:ascii="Arial" w:eastAsia="Times New Roman" w:hAnsi="Arial" w:cs="Arial"/>
          <w:szCs w:val="24"/>
        </w:rPr>
        <w:t xml:space="preserve"> millones de euros</w:t>
      </w:r>
      <w:r w:rsidR="00914524" w:rsidRPr="006E0E1B">
        <w:rPr>
          <w:rFonts w:ascii="Arial" w:eastAsia="Times New Roman" w:hAnsi="Arial" w:cs="Arial"/>
          <w:szCs w:val="24"/>
        </w:rPr>
        <w:t>, con un</w:t>
      </w:r>
      <w:r w:rsidR="00F85CA3" w:rsidRPr="006E0E1B">
        <w:rPr>
          <w:rFonts w:ascii="Arial" w:eastAsia="Times New Roman" w:hAnsi="Arial" w:cs="Arial"/>
          <w:szCs w:val="24"/>
        </w:rPr>
        <w:t xml:space="preserve"> ratio de eficiencia </w:t>
      </w:r>
      <w:r w:rsidR="00BE64F3">
        <w:rPr>
          <w:rFonts w:ascii="Arial" w:eastAsia="Times New Roman" w:hAnsi="Arial" w:cs="Arial"/>
          <w:szCs w:val="24"/>
        </w:rPr>
        <w:t xml:space="preserve">operativa </w:t>
      </w:r>
      <w:r w:rsidR="00914524" w:rsidRPr="006E0E1B">
        <w:rPr>
          <w:rFonts w:ascii="Arial" w:eastAsia="Times New Roman" w:hAnsi="Arial" w:cs="Arial"/>
          <w:szCs w:val="24"/>
        </w:rPr>
        <w:t>entre los mejores del sector, un</w:t>
      </w:r>
      <w:r w:rsidR="002B0ED1" w:rsidRPr="006E0E1B">
        <w:rPr>
          <w:rFonts w:ascii="Arial" w:eastAsia="Times New Roman" w:hAnsi="Arial" w:cs="Arial"/>
          <w:szCs w:val="24"/>
        </w:rPr>
        <w:t xml:space="preserve"> </w:t>
      </w:r>
      <w:r w:rsidR="00A760AF" w:rsidRPr="006E0E1B">
        <w:rPr>
          <w:rFonts w:ascii="Arial" w:eastAsia="Times New Roman" w:hAnsi="Arial" w:cs="Arial"/>
          <w:szCs w:val="24"/>
        </w:rPr>
        <w:t>4</w:t>
      </w:r>
      <w:r w:rsidR="00727D1F" w:rsidRPr="006E0E1B">
        <w:rPr>
          <w:rFonts w:ascii="Arial" w:eastAsia="Times New Roman" w:hAnsi="Arial" w:cs="Arial"/>
          <w:szCs w:val="24"/>
        </w:rPr>
        <w:t>7</w:t>
      </w:r>
      <w:r w:rsidR="001E4531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7</w:t>
      </w:r>
      <w:r w:rsidR="00F85CA3" w:rsidRPr="006E0E1B">
        <w:rPr>
          <w:rFonts w:ascii="Arial" w:eastAsia="Times New Roman" w:hAnsi="Arial" w:cs="Arial"/>
          <w:szCs w:val="24"/>
        </w:rPr>
        <w:t>%</w:t>
      </w:r>
      <w:r w:rsidR="00C26C08" w:rsidRPr="006E0E1B">
        <w:rPr>
          <w:rFonts w:ascii="Arial" w:eastAsia="Times New Roman" w:hAnsi="Arial" w:cs="Arial"/>
          <w:szCs w:val="24"/>
        </w:rPr>
        <w:t>.</w:t>
      </w:r>
      <w:r w:rsidR="00F85CA3" w:rsidRPr="006E0E1B">
        <w:rPr>
          <w:rFonts w:ascii="Arial" w:eastAsia="Times New Roman" w:hAnsi="Arial" w:cs="Arial"/>
          <w:szCs w:val="24"/>
        </w:rPr>
        <w:t xml:space="preserve"> </w:t>
      </w:r>
    </w:p>
    <w:p w:rsidR="00914524" w:rsidRPr="006E0E1B" w:rsidRDefault="007E0586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lastRenderedPageBreak/>
        <w:t>El</w:t>
      </w:r>
      <w:r w:rsidR="00F85CA3" w:rsidRPr="006E0E1B">
        <w:rPr>
          <w:rFonts w:ascii="Arial" w:eastAsia="Times New Roman" w:hAnsi="Arial" w:cs="Arial"/>
          <w:szCs w:val="24"/>
        </w:rPr>
        <w:t xml:space="preserve"> </w:t>
      </w:r>
      <w:r w:rsidR="00F97F5A" w:rsidRPr="006E0E1B">
        <w:rPr>
          <w:rFonts w:ascii="Arial" w:eastAsia="Times New Roman" w:hAnsi="Arial" w:cs="Arial"/>
          <w:szCs w:val="24"/>
        </w:rPr>
        <w:t xml:space="preserve">beneficio </w:t>
      </w:r>
      <w:r w:rsidR="00363DD2" w:rsidRPr="006E0E1B">
        <w:rPr>
          <w:rFonts w:ascii="Arial" w:eastAsia="Times New Roman" w:hAnsi="Arial" w:cs="Arial"/>
          <w:szCs w:val="24"/>
        </w:rPr>
        <w:t>antes de provisiones</w:t>
      </w:r>
      <w:r w:rsidR="00AF435A" w:rsidRPr="006E0E1B">
        <w:rPr>
          <w:rFonts w:ascii="Arial" w:eastAsia="Times New Roman" w:hAnsi="Arial" w:cs="Arial"/>
          <w:szCs w:val="24"/>
        </w:rPr>
        <w:t xml:space="preserve"> </w:t>
      </w:r>
      <w:r w:rsidR="007A3146" w:rsidRPr="006E0E1B">
        <w:rPr>
          <w:rFonts w:ascii="Arial" w:eastAsia="Times New Roman" w:hAnsi="Arial" w:cs="Arial"/>
          <w:szCs w:val="24"/>
        </w:rPr>
        <w:t xml:space="preserve">alcanza </w:t>
      </w:r>
      <w:r w:rsidR="00206257" w:rsidRPr="006E0E1B">
        <w:rPr>
          <w:rFonts w:ascii="Arial" w:eastAsia="Times New Roman" w:hAnsi="Arial" w:cs="Arial"/>
          <w:szCs w:val="24"/>
        </w:rPr>
        <w:t xml:space="preserve">los </w:t>
      </w:r>
      <w:r w:rsidR="00BE64F3">
        <w:rPr>
          <w:rFonts w:ascii="Arial" w:eastAsia="Times New Roman" w:hAnsi="Arial" w:cs="Arial"/>
          <w:szCs w:val="24"/>
        </w:rPr>
        <w:t>101</w:t>
      </w:r>
      <w:r w:rsidR="00BE64F3" w:rsidRPr="006E0E1B">
        <w:rPr>
          <w:rFonts w:ascii="Arial" w:eastAsia="Times New Roman" w:hAnsi="Arial" w:cs="Arial"/>
          <w:szCs w:val="24"/>
        </w:rPr>
        <w:t xml:space="preserve"> </w:t>
      </w:r>
      <w:r w:rsidR="00897908" w:rsidRPr="006E0E1B">
        <w:rPr>
          <w:rFonts w:ascii="Arial" w:eastAsia="Times New Roman" w:hAnsi="Arial" w:cs="Arial"/>
          <w:szCs w:val="24"/>
        </w:rPr>
        <w:t>millones de euros</w:t>
      </w:r>
      <w:r w:rsidR="00F77DD9" w:rsidRPr="006E0E1B">
        <w:rPr>
          <w:rFonts w:ascii="Arial" w:eastAsia="Times New Roman" w:hAnsi="Arial" w:cs="Arial"/>
          <w:szCs w:val="24"/>
        </w:rPr>
        <w:t>.</w:t>
      </w:r>
      <w:r w:rsidR="00AF435A" w:rsidRPr="006E0E1B">
        <w:rPr>
          <w:rFonts w:ascii="Arial" w:eastAsia="Times New Roman" w:hAnsi="Arial" w:cs="Arial"/>
          <w:szCs w:val="24"/>
        </w:rPr>
        <w:t xml:space="preserve"> </w:t>
      </w:r>
      <w:r w:rsidR="00F77DD9" w:rsidRPr="006E0E1B">
        <w:rPr>
          <w:rFonts w:ascii="Arial" w:eastAsia="Times New Roman" w:hAnsi="Arial" w:cs="Arial"/>
          <w:szCs w:val="24"/>
        </w:rPr>
        <w:t>L</w:t>
      </w:r>
      <w:r w:rsidR="000823E3" w:rsidRPr="006E0E1B">
        <w:rPr>
          <w:rFonts w:ascii="Arial" w:eastAsia="Times New Roman" w:hAnsi="Arial" w:cs="Arial"/>
          <w:szCs w:val="24"/>
        </w:rPr>
        <w:t xml:space="preserve">a mejora </w:t>
      </w:r>
      <w:r w:rsidR="00453458" w:rsidRPr="006E0E1B">
        <w:rPr>
          <w:rFonts w:ascii="Arial" w:eastAsia="Times New Roman" w:hAnsi="Arial" w:cs="Arial"/>
          <w:szCs w:val="24"/>
        </w:rPr>
        <w:t>en</w:t>
      </w:r>
      <w:r w:rsidR="00206257" w:rsidRPr="006E0E1B">
        <w:rPr>
          <w:rFonts w:ascii="Arial" w:eastAsia="Times New Roman" w:hAnsi="Arial" w:cs="Arial"/>
          <w:szCs w:val="24"/>
        </w:rPr>
        <w:t xml:space="preserve"> la </w:t>
      </w:r>
      <w:r w:rsidR="000823E3" w:rsidRPr="006E0E1B">
        <w:rPr>
          <w:rFonts w:ascii="Arial" w:eastAsia="Times New Roman" w:hAnsi="Arial" w:cs="Arial"/>
          <w:szCs w:val="24"/>
        </w:rPr>
        <w:t>calidad del riesgo de crédito</w:t>
      </w:r>
      <w:r w:rsidR="00897D52" w:rsidRPr="006E0E1B">
        <w:rPr>
          <w:rFonts w:ascii="Arial" w:eastAsia="Times New Roman" w:hAnsi="Arial" w:cs="Arial"/>
          <w:szCs w:val="24"/>
        </w:rPr>
        <w:t>, que</w:t>
      </w:r>
      <w:r w:rsidR="000823E3" w:rsidRPr="006E0E1B">
        <w:rPr>
          <w:rFonts w:ascii="Arial" w:eastAsia="Times New Roman" w:hAnsi="Arial" w:cs="Arial"/>
          <w:szCs w:val="24"/>
        </w:rPr>
        <w:t xml:space="preserve"> </w:t>
      </w:r>
      <w:r w:rsidR="00DE3DA8" w:rsidRPr="006E0E1B">
        <w:rPr>
          <w:rFonts w:ascii="Arial" w:eastAsia="Times New Roman" w:hAnsi="Arial" w:cs="Arial"/>
          <w:szCs w:val="24"/>
        </w:rPr>
        <w:t>queda patente</w:t>
      </w:r>
      <w:r w:rsidR="000823E3" w:rsidRPr="006E0E1B">
        <w:rPr>
          <w:rFonts w:ascii="Arial" w:eastAsia="Times New Roman" w:hAnsi="Arial" w:cs="Arial"/>
          <w:szCs w:val="24"/>
        </w:rPr>
        <w:t xml:space="preserve"> </w:t>
      </w:r>
      <w:r w:rsidR="00DE3DA8" w:rsidRPr="006E0E1B">
        <w:rPr>
          <w:rFonts w:ascii="Arial" w:eastAsia="Times New Roman" w:hAnsi="Arial" w:cs="Arial"/>
          <w:szCs w:val="24"/>
        </w:rPr>
        <w:t>con</w:t>
      </w:r>
      <w:r w:rsidR="000823E3" w:rsidRPr="006E0E1B">
        <w:rPr>
          <w:rFonts w:ascii="Arial" w:eastAsia="Times New Roman" w:hAnsi="Arial" w:cs="Arial"/>
          <w:szCs w:val="24"/>
        </w:rPr>
        <w:t xml:space="preserve"> </w:t>
      </w:r>
      <w:r w:rsidR="00DE3DA8" w:rsidRPr="006E0E1B">
        <w:rPr>
          <w:rFonts w:ascii="Arial" w:eastAsia="Times New Roman" w:hAnsi="Arial" w:cs="Arial"/>
          <w:szCs w:val="24"/>
        </w:rPr>
        <w:t xml:space="preserve">el </w:t>
      </w:r>
      <w:r w:rsidR="00206257" w:rsidRPr="006E0E1B">
        <w:rPr>
          <w:rFonts w:ascii="Arial" w:eastAsia="Times New Roman" w:hAnsi="Arial" w:cs="Arial"/>
          <w:szCs w:val="24"/>
        </w:rPr>
        <w:t xml:space="preserve">descenso </w:t>
      </w:r>
      <w:r w:rsidR="000823E3" w:rsidRPr="006E0E1B">
        <w:rPr>
          <w:rFonts w:ascii="Arial" w:eastAsia="Times New Roman" w:hAnsi="Arial" w:cs="Arial"/>
          <w:szCs w:val="24"/>
        </w:rPr>
        <w:t>de l</w:t>
      </w:r>
      <w:r w:rsidR="0092425C" w:rsidRPr="006E0E1B">
        <w:rPr>
          <w:rFonts w:ascii="Arial" w:eastAsia="Times New Roman" w:hAnsi="Arial" w:cs="Arial"/>
          <w:szCs w:val="24"/>
        </w:rPr>
        <w:t>os activos dudosos</w:t>
      </w:r>
      <w:r w:rsidR="00DE3DA8" w:rsidRPr="006E0E1B">
        <w:rPr>
          <w:rFonts w:ascii="Arial" w:eastAsia="Times New Roman" w:hAnsi="Arial" w:cs="Arial"/>
          <w:szCs w:val="24"/>
        </w:rPr>
        <w:t xml:space="preserve"> en</w:t>
      </w:r>
      <w:r w:rsidR="009F1348" w:rsidRPr="006E0E1B">
        <w:rPr>
          <w:rFonts w:ascii="Arial" w:eastAsia="Times New Roman" w:hAnsi="Arial" w:cs="Arial"/>
          <w:szCs w:val="24"/>
        </w:rPr>
        <w:t xml:space="preserve"> </w:t>
      </w:r>
      <w:r w:rsidR="00BE64F3">
        <w:rPr>
          <w:rFonts w:ascii="Arial" w:eastAsia="Times New Roman" w:hAnsi="Arial" w:cs="Arial"/>
          <w:szCs w:val="24"/>
        </w:rPr>
        <w:t>61</w:t>
      </w:r>
      <w:r w:rsidR="00BE64F3" w:rsidRPr="006E0E1B">
        <w:rPr>
          <w:rFonts w:ascii="Arial" w:eastAsia="Times New Roman" w:hAnsi="Arial" w:cs="Arial"/>
          <w:szCs w:val="24"/>
        </w:rPr>
        <w:t xml:space="preserve"> </w:t>
      </w:r>
      <w:r w:rsidR="000823E3" w:rsidRPr="006E0E1B">
        <w:rPr>
          <w:rFonts w:ascii="Arial" w:eastAsia="Times New Roman" w:hAnsi="Arial" w:cs="Arial"/>
          <w:szCs w:val="24"/>
        </w:rPr>
        <w:t>millones</w:t>
      </w:r>
      <w:r w:rsidR="005376D1" w:rsidRPr="006E0E1B">
        <w:rPr>
          <w:rFonts w:ascii="Arial" w:eastAsia="Times New Roman" w:hAnsi="Arial" w:cs="Arial"/>
          <w:szCs w:val="24"/>
        </w:rPr>
        <w:t xml:space="preserve"> de euros</w:t>
      </w:r>
      <w:r w:rsidR="000823E3" w:rsidRPr="006E0E1B">
        <w:rPr>
          <w:rFonts w:ascii="Arial" w:eastAsia="Times New Roman" w:hAnsi="Arial" w:cs="Arial"/>
          <w:szCs w:val="24"/>
        </w:rPr>
        <w:t xml:space="preserve"> </w:t>
      </w:r>
      <w:r w:rsidR="00EC0C81" w:rsidRPr="006E0E1B">
        <w:rPr>
          <w:rFonts w:ascii="Arial" w:eastAsia="Times New Roman" w:hAnsi="Arial" w:cs="Arial"/>
          <w:szCs w:val="24"/>
        </w:rPr>
        <w:t xml:space="preserve">en </w:t>
      </w:r>
      <w:r w:rsidR="00727D1F" w:rsidRPr="006E0E1B">
        <w:rPr>
          <w:rFonts w:ascii="Arial" w:eastAsia="Times New Roman" w:hAnsi="Arial" w:cs="Arial"/>
          <w:szCs w:val="24"/>
        </w:rPr>
        <w:t>el trimestre</w:t>
      </w:r>
      <w:r w:rsidR="00897D52" w:rsidRPr="006E0E1B">
        <w:rPr>
          <w:rFonts w:ascii="Arial" w:eastAsia="Times New Roman" w:hAnsi="Arial" w:cs="Arial"/>
          <w:szCs w:val="24"/>
        </w:rPr>
        <w:t xml:space="preserve">, </w:t>
      </w:r>
      <w:r w:rsidR="00EA4AD3" w:rsidRPr="006E0E1B">
        <w:rPr>
          <w:rFonts w:ascii="Arial" w:eastAsia="Times New Roman" w:hAnsi="Arial" w:cs="Arial"/>
          <w:szCs w:val="24"/>
        </w:rPr>
        <w:t xml:space="preserve">ha </w:t>
      </w:r>
      <w:r w:rsidR="00C62F7C" w:rsidRPr="006E0E1B">
        <w:rPr>
          <w:rFonts w:ascii="Arial" w:eastAsia="Times New Roman" w:hAnsi="Arial" w:cs="Arial"/>
          <w:szCs w:val="24"/>
        </w:rPr>
        <w:t>permitido que</w:t>
      </w:r>
      <w:r w:rsidR="00EA4AD3" w:rsidRPr="006E0E1B">
        <w:rPr>
          <w:rFonts w:ascii="Arial" w:eastAsia="Times New Roman" w:hAnsi="Arial" w:cs="Arial"/>
          <w:szCs w:val="24"/>
        </w:rPr>
        <w:t xml:space="preserve"> la tasa de mora </w:t>
      </w:r>
      <w:r w:rsidR="00C62F7C" w:rsidRPr="006E0E1B">
        <w:rPr>
          <w:rFonts w:ascii="Arial" w:eastAsia="Times New Roman" w:hAnsi="Arial" w:cs="Arial"/>
          <w:szCs w:val="24"/>
        </w:rPr>
        <w:t>se sitúe en el</w:t>
      </w:r>
      <w:r w:rsidR="00265A4E" w:rsidRPr="006E0E1B">
        <w:rPr>
          <w:rFonts w:ascii="Arial" w:eastAsia="Times New Roman" w:hAnsi="Arial" w:cs="Arial"/>
          <w:szCs w:val="24"/>
        </w:rPr>
        <w:t xml:space="preserve"> 1</w:t>
      </w:r>
      <w:r w:rsidR="00DE3DA8" w:rsidRPr="006E0E1B">
        <w:rPr>
          <w:rFonts w:ascii="Arial" w:eastAsia="Times New Roman" w:hAnsi="Arial" w:cs="Arial"/>
          <w:szCs w:val="24"/>
        </w:rPr>
        <w:t>1</w:t>
      </w:r>
      <w:r w:rsidR="00265A4E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79</w:t>
      </w:r>
      <w:r w:rsidR="009E4181" w:rsidRPr="006E0E1B">
        <w:rPr>
          <w:rFonts w:ascii="Arial" w:eastAsia="Times New Roman" w:hAnsi="Arial" w:cs="Arial"/>
          <w:szCs w:val="24"/>
        </w:rPr>
        <w:t>%</w:t>
      </w:r>
      <w:r w:rsidR="00370F6D" w:rsidRPr="006E0E1B">
        <w:rPr>
          <w:rFonts w:ascii="Arial" w:eastAsia="Times New Roman" w:hAnsi="Arial" w:cs="Arial"/>
          <w:szCs w:val="24"/>
        </w:rPr>
        <w:t xml:space="preserve">, </w:t>
      </w:r>
      <w:r w:rsidR="00897D52" w:rsidRPr="006E0E1B">
        <w:rPr>
          <w:rFonts w:ascii="Arial" w:eastAsia="Times New Roman" w:hAnsi="Arial" w:cs="Arial"/>
          <w:szCs w:val="24"/>
        </w:rPr>
        <w:t>(</w:t>
      </w:r>
      <w:r w:rsidR="00EC0C81" w:rsidRPr="006E0E1B">
        <w:rPr>
          <w:rFonts w:ascii="Arial" w:eastAsia="Times New Roman" w:hAnsi="Arial" w:cs="Arial"/>
          <w:szCs w:val="24"/>
        </w:rPr>
        <w:t>1</w:t>
      </w:r>
      <w:r w:rsidR="00727D1F" w:rsidRPr="006E0E1B">
        <w:rPr>
          <w:rFonts w:ascii="Arial" w:eastAsia="Times New Roman" w:hAnsi="Arial" w:cs="Arial"/>
          <w:szCs w:val="24"/>
        </w:rPr>
        <w:t>3</w:t>
      </w:r>
      <w:r w:rsidR="00EC0C81" w:rsidRPr="006E0E1B">
        <w:rPr>
          <w:rFonts w:ascii="Arial" w:eastAsia="Times New Roman" w:hAnsi="Arial" w:cs="Arial"/>
          <w:szCs w:val="24"/>
        </w:rPr>
        <w:t xml:space="preserve"> puntos </w:t>
      </w:r>
      <w:r w:rsidR="007224A6" w:rsidRPr="006E0E1B">
        <w:rPr>
          <w:rFonts w:ascii="Arial" w:eastAsia="Times New Roman" w:hAnsi="Arial" w:cs="Arial"/>
          <w:szCs w:val="24"/>
        </w:rPr>
        <w:t>básicos</w:t>
      </w:r>
      <w:r w:rsidR="00C15EA7" w:rsidRPr="006E0E1B">
        <w:rPr>
          <w:rFonts w:ascii="Arial" w:eastAsia="Times New Roman" w:hAnsi="Arial" w:cs="Arial"/>
          <w:szCs w:val="24"/>
        </w:rPr>
        <w:t xml:space="preserve"> </w:t>
      </w:r>
      <w:r w:rsidR="00F77DD9" w:rsidRPr="006E0E1B">
        <w:rPr>
          <w:rFonts w:ascii="Arial" w:eastAsia="Times New Roman" w:hAnsi="Arial" w:cs="Arial"/>
          <w:szCs w:val="24"/>
        </w:rPr>
        <w:t xml:space="preserve">menos </w:t>
      </w:r>
      <w:r w:rsidR="00C15EA7" w:rsidRPr="006E0E1B">
        <w:rPr>
          <w:rFonts w:ascii="Arial" w:eastAsia="Times New Roman" w:hAnsi="Arial" w:cs="Arial"/>
          <w:szCs w:val="24"/>
        </w:rPr>
        <w:t xml:space="preserve">en el trimestre y </w:t>
      </w:r>
      <w:r w:rsidR="00BE64F3" w:rsidRPr="006E0E1B">
        <w:rPr>
          <w:rFonts w:ascii="Arial" w:eastAsia="Times New Roman" w:hAnsi="Arial" w:cs="Arial"/>
          <w:szCs w:val="24"/>
        </w:rPr>
        <w:t>15</w:t>
      </w:r>
      <w:r w:rsidR="00BE64F3">
        <w:rPr>
          <w:rFonts w:ascii="Arial" w:eastAsia="Times New Roman" w:hAnsi="Arial" w:cs="Arial"/>
          <w:szCs w:val="24"/>
        </w:rPr>
        <w:t>1</w:t>
      </w:r>
      <w:r w:rsidR="00BE64F3" w:rsidRPr="006E0E1B">
        <w:rPr>
          <w:rFonts w:ascii="Arial" w:eastAsia="Times New Roman" w:hAnsi="Arial" w:cs="Arial"/>
          <w:szCs w:val="24"/>
        </w:rPr>
        <w:t xml:space="preserve"> </w:t>
      </w:r>
      <w:r w:rsidR="00C15EA7" w:rsidRPr="006E0E1B">
        <w:rPr>
          <w:rFonts w:ascii="Arial" w:eastAsia="Times New Roman" w:hAnsi="Arial" w:cs="Arial"/>
          <w:szCs w:val="24"/>
        </w:rPr>
        <w:t>p</w:t>
      </w:r>
      <w:r w:rsidR="008D373F" w:rsidRPr="006E0E1B">
        <w:rPr>
          <w:rFonts w:ascii="Arial" w:eastAsia="Times New Roman" w:hAnsi="Arial" w:cs="Arial"/>
          <w:szCs w:val="24"/>
        </w:rPr>
        <w:t>untos</w:t>
      </w:r>
      <w:r w:rsidR="00C15EA7" w:rsidRPr="006E0E1B">
        <w:rPr>
          <w:rFonts w:ascii="Arial" w:eastAsia="Times New Roman" w:hAnsi="Arial" w:cs="Arial"/>
          <w:szCs w:val="24"/>
        </w:rPr>
        <w:t xml:space="preserve"> </w:t>
      </w:r>
      <w:r w:rsidR="0054767D">
        <w:rPr>
          <w:rFonts w:ascii="Arial" w:eastAsia="Times New Roman" w:hAnsi="Arial" w:cs="Arial"/>
          <w:szCs w:val="24"/>
        </w:rPr>
        <w:t xml:space="preserve">básicos </w:t>
      </w:r>
      <w:r w:rsidR="00C15EA7" w:rsidRPr="006E0E1B">
        <w:rPr>
          <w:rFonts w:ascii="Arial" w:eastAsia="Times New Roman" w:hAnsi="Arial" w:cs="Arial"/>
          <w:szCs w:val="24"/>
        </w:rPr>
        <w:t>en términos interanuales</w:t>
      </w:r>
      <w:r w:rsidR="00897D52" w:rsidRPr="006E0E1B">
        <w:rPr>
          <w:rFonts w:ascii="Arial" w:eastAsia="Times New Roman" w:hAnsi="Arial" w:cs="Arial"/>
          <w:szCs w:val="24"/>
        </w:rPr>
        <w:t xml:space="preserve">) y la disminución de las provisiones en un 27%, hasta los </w:t>
      </w:r>
      <w:r w:rsidR="00BE64F3" w:rsidRPr="006E0E1B">
        <w:rPr>
          <w:rFonts w:ascii="Arial" w:eastAsia="Times New Roman" w:hAnsi="Arial" w:cs="Arial"/>
          <w:szCs w:val="24"/>
        </w:rPr>
        <w:t>5</w:t>
      </w:r>
      <w:r w:rsidR="00BE64F3">
        <w:rPr>
          <w:rFonts w:ascii="Arial" w:eastAsia="Times New Roman" w:hAnsi="Arial" w:cs="Arial"/>
          <w:szCs w:val="24"/>
        </w:rPr>
        <w:t>3</w:t>
      </w:r>
      <w:r w:rsidR="00BE64F3" w:rsidRPr="006E0E1B">
        <w:rPr>
          <w:rFonts w:ascii="Arial" w:eastAsia="Times New Roman" w:hAnsi="Arial" w:cs="Arial"/>
          <w:szCs w:val="24"/>
        </w:rPr>
        <w:t xml:space="preserve"> </w:t>
      </w:r>
      <w:r w:rsidR="00897D52" w:rsidRPr="006E0E1B">
        <w:rPr>
          <w:rFonts w:ascii="Arial" w:eastAsia="Times New Roman" w:hAnsi="Arial" w:cs="Arial"/>
          <w:szCs w:val="24"/>
        </w:rPr>
        <w:t xml:space="preserve">millones de euros. </w:t>
      </w:r>
    </w:p>
    <w:p w:rsidR="00E80E1F" w:rsidRPr="006E0E1B" w:rsidRDefault="004F70DD" w:rsidP="00370F6D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Por lo que respecta a la </w:t>
      </w:r>
      <w:r w:rsidR="00370F6D" w:rsidRPr="006E0E1B">
        <w:rPr>
          <w:rFonts w:ascii="Arial" w:eastAsia="Times New Roman" w:hAnsi="Arial" w:cs="Arial"/>
          <w:szCs w:val="24"/>
        </w:rPr>
        <w:t xml:space="preserve">actividad comercial, </w:t>
      </w:r>
      <w:r w:rsidR="00B74865" w:rsidRPr="006E0E1B">
        <w:rPr>
          <w:rFonts w:ascii="Arial" w:eastAsia="Times New Roman" w:hAnsi="Arial" w:cs="Arial"/>
          <w:szCs w:val="24"/>
        </w:rPr>
        <w:t xml:space="preserve">la nueva inversión crediticia </w:t>
      </w:r>
      <w:r w:rsidR="001E67EB">
        <w:rPr>
          <w:rFonts w:ascii="Arial" w:eastAsia="Times New Roman" w:hAnsi="Arial" w:cs="Arial"/>
          <w:szCs w:val="24"/>
        </w:rPr>
        <w:t>formalizada</w:t>
      </w:r>
      <w:r w:rsidR="001E67EB" w:rsidRPr="006E0E1B">
        <w:rPr>
          <w:rFonts w:ascii="Arial" w:eastAsia="Times New Roman" w:hAnsi="Arial" w:cs="Arial"/>
          <w:szCs w:val="24"/>
        </w:rPr>
        <w:t xml:space="preserve"> </w:t>
      </w:r>
      <w:r w:rsidR="00DA17C8" w:rsidRPr="006E0E1B">
        <w:rPr>
          <w:rFonts w:ascii="Arial" w:eastAsia="Times New Roman" w:hAnsi="Arial" w:cs="Arial"/>
          <w:szCs w:val="24"/>
        </w:rPr>
        <w:t>alcanzó los</w:t>
      </w:r>
      <w:r w:rsidR="00B74865" w:rsidRPr="006E0E1B">
        <w:rPr>
          <w:rFonts w:ascii="Arial" w:eastAsia="Times New Roman" w:hAnsi="Arial" w:cs="Arial"/>
          <w:szCs w:val="24"/>
        </w:rPr>
        <w:t xml:space="preserve"> </w:t>
      </w:r>
      <w:r w:rsidR="00727D1F" w:rsidRPr="006E0E1B">
        <w:rPr>
          <w:rFonts w:ascii="Arial" w:eastAsia="Times New Roman" w:hAnsi="Arial" w:cs="Arial"/>
          <w:szCs w:val="24"/>
        </w:rPr>
        <w:t>713</w:t>
      </w:r>
      <w:r w:rsidR="00B74865" w:rsidRPr="006E0E1B">
        <w:rPr>
          <w:rFonts w:ascii="Arial" w:eastAsia="Times New Roman" w:hAnsi="Arial" w:cs="Arial"/>
          <w:szCs w:val="24"/>
        </w:rPr>
        <w:t xml:space="preserve"> millones de euros</w:t>
      </w:r>
      <w:r w:rsidR="00727D1F" w:rsidRPr="006E0E1B">
        <w:rPr>
          <w:rFonts w:ascii="Arial" w:eastAsia="Times New Roman" w:hAnsi="Arial" w:cs="Arial"/>
          <w:szCs w:val="24"/>
        </w:rPr>
        <w:t xml:space="preserve"> los primeros tres meses del año</w:t>
      </w:r>
      <w:r w:rsidR="003F5D88" w:rsidRPr="006E0E1B">
        <w:rPr>
          <w:rFonts w:ascii="Arial" w:eastAsia="Times New Roman" w:hAnsi="Arial" w:cs="Arial"/>
          <w:szCs w:val="24"/>
        </w:rPr>
        <w:t>,</w:t>
      </w:r>
      <w:r w:rsidR="00B74865" w:rsidRPr="006E0E1B">
        <w:rPr>
          <w:rFonts w:ascii="Arial" w:eastAsia="Times New Roman" w:hAnsi="Arial" w:cs="Arial"/>
          <w:szCs w:val="24"/>
        </w:rPr>
        <w:t xml:space="preserve"> </w:t>
      </w:r>
      <w:r w:rsidR="003F5D88" w:rsidRPr="006E0E1B">
        <w:rPr>
          <w:rFonts w:ascii="Arial" w:eastAsia="Times New Roman" w:hAnsi="Arial" w:cs="Arial"/>
          <w:szCs w:val="24"/>
        </w:rPr>
        <w:t>destacando l</w:t>
      </w:r>
      <w:r w:rsidR="00370F6D" w:rsidRPr="006E0E1B">
        <w:rPr>
          <w:rFonts w:ascii="Arial" w:eastAsia="Times New Roman" w:hAnsi="Arial" w:cs="Arial"/>
          <w:szCs w:val="24"/>
        </w:rPr>
        <w:t>a</w:t>
      </w:r>
      <w:r w:rsidR="003F5D88" w:rsidRPr="006E0E1B">
        <w:rPr>
          <w:rFonts w:ascii="Arial" w:eastAsia="Times New Roman" w:hAnsi="Arial" w:cs="Arial"/>
          <w:szCs w:val="24"/>
        </w:rPr>
        <w:t>s</w:t>
      </w:r>
      <w:r w:rsidR="00370F6D" w:rsidRPr="006E0E1B">
        <w:rPr>
          <w:rFonts w:ascii="Arial" w:eastAsia="Times New Roman" w:hAnsi="Arial" w:cs="Arial"/>
          <w:szCs w:val="24"/>
        </w:rPr>
        <w:t xml:space="preserve"> </w:t>
      </w:r>
      <w:r w:rsidR="003F5D88" w:rsidRPr="006E0E1B">
        <w:rPr>
          <w:rFonts w:ascii="Arial" w:eastAsia="Times New Roman" w:hAnsi="Arial" w:cs="Arial"/>
          <w:szCs w:val="24"/>
        </w:rPr>
        <w:t xml:space="preserve">concesiones a </w:t>
      </w:r>
      <w:r w:rsidR="00370F6D" w:rsidRPr="006E0E1B">
        <w:rPr>
          <w:rFonts w:ascii="Arial" w:eastAsia="Times New Roman" w:hAnsi="Arial" w:cs="Arial"/>
          <w:szCs w:val="24"/>
        </w:rPr>
        <w:t>empresas</w:t>
      </w:r>
      <w:r w:rsidR="003F5D88" w:rsidRPr="006E0E1B">
        <w:rPr>
          <w:rFonts w:ascii="Arial" w:eastAsia="Times New Roman" w:hAnsi="Arial" w:cs="Arial"/>
          <w:szCs w:val="24"/>
        </w:rPr>
        <w:t>, que</w:t>
      </w:r>
      <w:r w:rsidR="00370F6D" w:rsidRPr="006E0E1B">
        <w:rPr>
          <w:rFonts w:ascii="Arial" w:eastAsia="Times New Roman" w:hAnsi="Arial" w:cs="Arial"/>
          <w:szCs w:val="24"/>
        </w:rPr>
        <w:t xml:space="preserve"> </w:t>
      </w:r>
      <w:r w:rsidR="00727D1F" w:rsidRPr="006E0E1B">
        <w:rPr>
          <w:rFonts w:ascii="Arial" w:eastAsia="Times New Roman" w:hAnsi="Arial" w:cs="Arial"/>
          <w:szCs w:val="24"/>
        </w:rPr>
        <w:t>rozan</w:t>
      </w:r>
      <w:r w:rsidR="003F5D88" w:rsidRPr="006E0E1B">
        <w:rPr>
          <w:rFonts w:ascii="Arial" w:eastAsia="Times New Roman" w:hAnsi="Arial" w:cs="Arial"/>
          <w:szCs w:val="24"/>
        </w:rPr>
        <w:t xml:space="preserve"> </w:t>
      </w:r>
      <w:r w:rsidR="00263FD2" w:rsidRPr="006E0E1B">
        <w:rPr>
          <w:rFonts w:ascii="Arial" w:eastAsia="Times New Roman" w:hAnsi="Arial" w:cs="Arial"/>
          <w:szCs w:val="24"/>
        </w:rPr>
        <w:t>los 4</w:t>
      </w:r>
      <w:r w:rsidR="003F5D88" w:rsidRPr="006E0E1B">
        <w:rPr>
          <w:rFonts w:ascii="Arial" w:eastAsia="Times New Roman" w:hAnsi="Arial" w:cs="Arial"/>
          <w:szCs w:val="24"/>
        </w:rPr>
        <w:t>0</w:t>
      </w:r>
      <w:r w:rsidR="00727D1F" w:rsidRPr="006E0E1B">
        <w:rPr>
          <w:rFonts w:ascii="Arial" w:eastAsia="Times New Roman" w:hAnsi="Arial" w:cs="Arial"/>
          <w:szCs w:val="24"/>
        </w:rPr>
        <w:t>0</w:t>
      </w:r>
      <w:r w:rsidR="00263FD2" w:rsidRPr="006E0E1B">
        <w:rPr>
          <w:rFonts w:ascii="Arial" w:eastAsia="Times New Roman" w:hAnsi="Arial" w:cs="Arial"/>
          <w:szCs w:val="24"/>
        </w:rPr>
        <w:t xml:space="preserve"> millones de euros, </w:t>
      </w:r>
      <w:r w:rsidR="00727D1F" w:rsidRPr="006E0E1B">
        <w:rPr>
          <w:rFonts w:ascii="Arial" w:eastAsia="Times New Roman" w:hAnsi="Arial" w:cs="Arial"/>
          <w:szCs w:val="24"/>
        </w:rPr>
        <w:t>un 56% del total</w:t>
      </w:r>
      <w:r w:rsidR="00370F6D" w:rsidRPr="006E0E1B">
        <w:rPr>
          <w:rFonts w:ascii="Arial" w:eastAsia="Times New Roman" w:hAnsi="Arial" w:cs="Arial"/>
          <w:szCs w:val="24"/>
        </w:rPr>
        <w:t>.</w:t>
      </w:r>
    </w:p>
    <w:p w:rsidR="00E80E1F" w:rsidRPr="006E0E1B" w:rsidRDefault="00E80E1F" w:rsidP="00370F6D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t>En paralelo, avanza decididamente el proceso de digitalización del banco. Actualmente, BMN registra un 35% de clientes de banca online,</w:t>
      </w:r>
      <w:r w:rsidR="001215FA" w:rsidRPr="006E0E1B">
        <w:rPr>
          <w:rFonts w:ascii="Arial" w:eastAsia="Times New Roman" w:hAnsi="Arial" w:cs="Arial"/>
          <w:szCs w:val="24"/>
        </w:rPr>
        <w:t xml:space="preserve"> con un nivel de actividad cada vez más creciente y que ya</w:t>
      </w:r>
      <w:r w:rsidRPr="006E0E1B">
        <w:rPr>
          <w:rFonts w:ascii="Arial" w:eastAsia="Times New Roman" w:hAnsi="Arial" w:cs="Arial"/>
          <w:szCs w:val="24"/>
        </w:rPr>
        <w:t xml:space="preserve"> supone</w:t>
      </w:r>
      <w:r w:rsidR="001215FA" w:rsidRPr="006E0E1B">
        <w:rPr>
          <w:rFonts w:ascii="Arial" w:eastAsia="Times New Roman" w:hAnsi="Arial" w:cs="Arial"/>
          <w:szCs w:val="24"/>
        </w:rPr>
        <w:t>n</w:t>
      </w:r>
      <w:r w:rsidRPr="006E0E1B">
        <w:rPr>
          <w:rFonts w:ascii="Arial" w:eastAsia="Times New Roman" w:hAnsi="Arial" w:cs="Arial"/>
          <w:szCs w:val="24"/>
        </w:rPr>
        <w:t xml:space="preserve"> el 20% del total de clientes activos de la entida</w:t>
      </w:r>
      <w:r w:rsidR="00253FA2">
        <w:rPr>
          <w:rFonts w:ascii="Arial" w:eastAsia="Times New Roman" w:hAnsi="Arial" w:cs="Arial"/>
          <w:szCs w:val="24"/>
        </w:rPr>
        <w:t>d.</w:t>
      </w:r>
      <w:r w:rsidR="001215FA" w:rsidRPr="006E0E1B">
        <w:rPr>
          <w:rFonts w:ascii="Arial" w:eastAsia="Times New Roman" w:hAnsi="Arial" w:cs="Arial"/>
          <w:szCs w:val="24"/>
        </w:rPr>
        <w:t xml:space="preserve"> </w:t>
      </w:r>
      <w:r w:rsidR="001215FA" w:rsidRPr="008E0109">
        <w:rPr>
          <w:rFonts w:ascii="Arial" w:eastAsia="Times New Roman" w:hAnsi="Arial" w:cs="Arial"/>
          <w:szCs w:val="24"/>
        </w:rPr>
        <w:t xml:space="preserve">En el mes de marzo, el 22,3% del total de operaciones se realizaron por este canal, a las que se suman el 16,4% efectuado en cajeros y terminales de punto de venta (TPVs). Así, todo ello pone de manifiesto que prácticamente el 40% de las operaciones del banco se </w:t>
      </w:r>
      <w:r w:rsidR="00DF4E1E">
        <w:rPr>
          <w:rFonts w:ascii="Arial" w:eastAsia="Times New Roman" w:hAnsi="Arial" w:cs="Arial"/>
          <w:szCs w:val="24"/>
        </w:rPr>
        <w:t>efectúan</w:t>
      </w:r>
      <w:r w:rsidR="001215FA" w:rsidRPr="008E0109">
        <w:rPr>
          <w:rFonts w:ascii="Arial" w:eastAsia="Times New Roman" w:hAnsi="Arial" w:cs="Arial"/>
          <w:szCs w:val="24"/>
        </w:rPr>
        <w:t xml:space="preserve"> sin presencia física en las oficinas. Destaca, en este sentido, el que el 70% de las transferencias se realiza ya a través de banca electrónica.</w:t>
      </w:r>
    </w:p>
    <w:p w:rsidR="00245AF4" w:rsidRPr="006E0E1B" w:rsidRDefault="00321F7F" w:rsidP="00EA0EF8">
      <w:pPr>
        <w:spacing w:line="360" w:lineRule="auto"/>
        <w:jc w:val="both"/>
        <w:rPr>
          <w:rFonts w:ascii="Arial" w:eastAsia="Times New Roman" w:hAnsi="Arial" w:cs="Arial"/>
          <w:szCs w:val="24"/>
        </w:rPr>
      </w:pPr>
      <w:r w:rsidRPr="006E0E1B">
        <w:rPr>
          <w:rFonts w:ascii="Arial" w:eastAsia="Times New Roman" w:hAnsi="Arial" w:cs="Arial"/>
          <w:szCs w:val="24"/>
        </w:rPr>
        <w:t xml:space="preserve">El ratio de capital ordinario </w:t>
      </w:r>
      <w:r w:rsidR="000B3A35" w:rsidRPr="006E0E1B">
        <w:rPr>
          <w:rFonts w:ascii="Arial" w:eastAsia="Times New Roman" w:hAnsi="Arial" w:cs="Arial"/>
          <w:szCs w:val="24"/>
        </w:rPr>
        <w:t xml:space="preserve">CET1 </w:t>
      </w:r>
      <w:r w:rsidRPr="006E0E1B">
        <w:rPr>
          <w:rFonts w:ascii="Arial" w:eastAsia="Times New Roman" w:hAnsi="Arial" w:cs="Arial"/>
          <w:i/>
          <w:szCs w:val="24"/>
        </w:rPr>
        <w:t>Fully L</w:t>
      </w:r>
      <w:r w:rsidR="000B3A35" w:rsidRPr="006E0E1B">
        <w:rPr>
          <w:rFonts w:ascii="Arial" w:eastAsia="Times New Roman" w:hAnsi="Arial" w:cs="Arial"/>
          <w:i/>
          <w:szCs w:val="24"/>
        </w:rPr>
        <w:t>oaded</w:t>
      </w:r>
      <w:r w:rsidR="000823E3" w:rsidRPr="006E0E1B">
        <w:rPr>
          <w:rFonts w:ascii="Arial" w:eastAsia="Times New Roman" w:hAnsi="Arial" w:cs="Arial"/>
          <w:szCs w:val="24"/>
        </w:rPr>
        <w:t>,</w:t>
      </w:r>
      <w:r w:rsidR="000B3A35" w:rsidRPr="006E0E1B">
        <w:rPr>
          <w:rFonts w:ascii="Arial" w:eastAsia="Times New Roman" w:hAnsi="Arial" w:cs="Arial"/>
          <w:szCs w:val="24"/>
        </w:rPr>
        <w:t xml:space="preserve"> </w:t>
      </w:r>
      <w:r w:rsidR="00BE64F3" w:rsidRPr="00BE64F3">
        <w:rPr>
          <w:rFonts w:ascii="Arial" w:eastAsia="Times New Roman" w:hAnsi="Arial" w:cs="Arial"/>
          <w:szCs w:val="24"/>
        </w:rPr>
        <w:t>incorporando los resultados hasta marzo y anticipando</w:t>
      </w:r>
      <w:r w:rsidR="007224A6" w:rsidRPr="006E0E1B">
        <w:rPr>
          <w:rFonts w:ascii="Arial" w:eastAsia="Times New Roman" w:hAnsi="Arial" w:cs="Arial"/>
          <w:szCs w:val="24"/>
        </w:rPr>
        <w:t xml:space="preserve"> </w:t>
      </w:r>
      <w:r w:rsidR="00733D97" w:rsidRPr="006E0E1B">
        <w:rPr>
          <w:rFonts w:ascii="Arial" w:eastAsia="Times New Roman" w:hAnsi="Arial" w:cs="Arial"/>
          <w:szCs w:val="24"/>
        </w:rPr>
        <w:t>toda</w:t>
      </w:r>
      <w:r w:rsidR="000823E3" w:rsidRPr="006E0E1B">
        <w:rPr>
          <w:rFonts w:ascii="Arial" w:eastAsia="Times New Roman" w:hAnsi="Arial" w:cs="Arial"/>
          <w:szCs w:val="24"/>
        </w:rPr>
        <w:t>s</w:t>
      </w:r>
      <w:r w:rsidR="001963BC" w:rsidRPr="006E0E1B">
        <w:rPr>
          <w:rFonts w:ascii="Arial" w:eastAsia="Times New Roman" w:hAnsi="Arial" w:cs="Arial"/>
          <w:szCs w:val="24"/>
        </w:rPr>
        <w:t xml:space="preserve"> las</w:t>
      </w:r>
      <w:r w:rsidR="000823E3" w:rsidRPr="006E0E1B">
        <w:rPr>
          <w:rFonts w:ascii="Arial" w:eastAsia="Times New Roman" w:hAnsi="Arial" w:cs="Arial"/>
          <w:szCs w:val="24"/>
        </w:rPr>
        <w:t xml:space="preserve"> </w:t>
      </w:r>
      <w:r w:rsidR="00733D97" w:rsidRPr="006E0E1B">
        <w:rPr>
          <w:rFonts w:ascii="Arial" w:eastAsia="Times New Roman" w:hAnsi="Arial" w:cs="Arial"/>
          <w:szCs w:val="24"/>
        </w:rPr>
        <w:t xml:space="preserve">deducciones y </w:t>
      </w:r>
      <w:r w:rsidR="000823E3" w:rsidRPr="006E0E1B">
        <w:rPr>
          <w:rFonts w:ascii="Arial" w:eastAsia="Times New Roman" w:hAnsi="Arial" w:cs="Arial"/>
          <w:szCs w:val="24"/>
        </w:rPr>
        <w:t>ajustes previstos por la normativa</w:t>
      </w:r>
      <w:r w:rsidR="00733D97" w:rsidRPr="006E0E1B">
        <w:rPr>
          <w:rFonts w:ascii="Arial" w:eastAsia="Times New Roman" w:hAnsi="Arial" w:cs="Arial"/>
          <w:szCs w:val="24"/>
        </w:rPr>
        <w:t xml:space="preserve"> en su calendario hasta 2018</w:t>
      </w:r>
      <w:r w:rsidR="000823E3" w:rsidRPr="006E0E1B">
        <w:rPr>
          <w:rFonts w:ascii="Arial" w:eastAsia="Times New Roman" w:hAnsi="Arial" w:cs="Arial"/>
          <w:szCs w:val="24"/>
        </w:rPr>
        <w:t xml:space="preserve">, </w:t>
      </w:r>
      <w:r w:rsidR="007224A6" w:rsidRPr="006E0E1B">
        <w:rPr>
          <w:rFonts w:ascii="Arial" w:eastAsia="Times New Roman" w:hAnsi="Arial" w:cs="Arial"/>
          <w:szCs w:val="24"/>
        </w:rPr>
        <w:t>se sitúa</w:t>
      </w:r>
      <w:r w:rsidR="00F85CA3" w:rsidRPr="006E0E1B">
        <w:rPr>
          <w:rFonts w:ascii="Arial" w:eastAsia="Times New Roman" w:hAnsi="Arial" w:cs="Arial"/>
          <w:szCs w:val="24"/>
        </w:rPr>
        <w:t xml:space="preserve"> en el </w:t>
      </w:r>
      <w:r w:rsidR="00DE3DA8" w:rsidRPr="006E0E1B">
        <w:rPr>
          <w:rFonts w:ascii="Arial" w:eastAsia="Times New Roman" w:hAnsi="Arial" w:cs="Arial"/>
          <w:szCs w:val="24"/>
        </w:rPr>
        <w:t>11</w:t>
      </w:r>
      <w:r w:rsidR="00864EAC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3</w:t>
      </w:r>
      <w:r w:rsidR="00F85CA3" w:rsidRPr="006E0E1B">
        <w:rPr>
          <w:rFonts w:ascii="Arial" w:eastAsia="Times New Roman" w:hAnsi="Arial" w:cs="Arial"/>
          <w:szCs w:val="24"/>
        </w:rPr>
        <w:t>%</w:t>
      </w:r>
      <w:r w:rsidR="00EF5C8A" w:rsidRPr="006E0E1B">
        <w:rPr>
          <w:rFonts w:ascii="Arial" w:eastAsia="Times New Roman" w:hAnsi="Arial" w:cs="Arial"/>
          <w:szCs w:val="24"/>
        </w:rPr>
        <w:t xml:space="preserve"> (</w:t>
      </w:r>
      <w:r w:rsidR="00864EAC" w:rsidRPr="006E0E1B">
        <w:rPr>
          <w:rFonts w:ascii="Arial" w:eastAsia="Times New Roman" w:hAnsi="Arial" w:cs="Arial"/>
          <w:szCs w:val="24"/>
        </w:rPr>
        <w:t>1</w:t>
      </w:r>
      <w:r w:rsidR="00727D1F" w:rsidRPr="006E0E1B">
        <w:rPr>
          <w:rFonts w:ascii="Arial" w:eastAsia="Times New Roman" w:hAnsi="Arial" w:cs="Arial"/>
          <w:szCs w:val="24"/>
        </w:rPr>
        <w:t>1</w:t>
      </w:r>
      <w:r w:rsidR="00864EAC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1</w:t>
      </w:r>
      <w:r w:rsidR="00864EAC" w:rsidRPr="006E0E1B">
        <w:rPr>
          <w:rFonts w:ascii="Arial" w:eastAsia="Times New Roman" w:hAnsi="Arial" w:cs="Arial"/>
          <w:szCs w:val="24"/>
        </w:rPr>
        <w:t>% sin</w:t>
      </w:r>
      <w:r w:rsidR="00EF5C8A" w:rsidRPr="006E0E1B">
        <w:rPr>
          <w:rFonts w:ascii="Arial" w:eastAsia="Times New Roman" w:hAnsi="Arial" w:cs="Arial"/>
          <w:szCs w:val="24"/>
        </w:rPr>
        <w:t xml:space="preserve"> inclu</w:t>
      </w:r>
      <w:r w:rsidR="00864EAC" w:rsidRPr="006E0E1B">
        <w:rPr>
          <w:rFonts w:ascii="Arial" w:eastAsia="Times New Roman" w:hAnsi="Arial" w:cs="Arial"/>
          <w:szCs w:val="24"/>
        </w:rPr>
        <w:t>ir plusvalías</w:t>
      </w:r>
      <w:r w:rsidR="0028539D" w:rsidRPr="006E0E1B">
        <w:rPr>
          <w:rFonts w:ascii="Arial" w:eastAsia="Times New Roman" w:hAnsi="Arial" w:cs="Arial"/>
          <w:szCs w:val="24"/>
        </w:rPr>
        <w:t xml:space="preserve"> de deuda soberana</w:t>
      </w:r>
      <w:r w:rsidR="00EF5C8A" w:rsidRPr="006E0E1B">
        <w:rPr>
          <w:rFonts w:ascii="Arial" w:eastAsia="Times New Roman" w:hAnsi="Arial" w:cs="Arial"/>
          <w:szCs w:val="24"/>
        </w:rPr>
        <w:t>).</w:t>
      </w:r>
      <w:r w:rsidR="00F85CA3" w:rsidRPr="006E0E1B">
        <w:rPr>
          <w:rFonts w:ascii="Arial" w:eastAsia="Times New Roman" w:hAnsi="Arial" w:cs="Arial"/>
          <w:szCs w:val="24"/>
        </w:rPr>
        <w:t xml:space="preserve"> </w:t>
      </w:r>
      <w:r w:rsidR="004024DB" w:rsidRPr="006E0E1B">
        <w:rPr>
          <w:rFonts w:ascii="Arial" w:eastAsia="Times New Roman" w:hAnsi="Arial" w:cs="Arial"/>
          <w:szCs w:val="24"/>
        </w:rPr>
        <w:t xml:space="preserve">El ratio </w:t>
      </w:r>
      <w:r w:rsidR="009E6400" w:rsidRPr="006E0E1B">
        <w:rPr>
          <w:rFonts w:ascii="Arial" w:eastAsia="Times New Roman" w:hAnsi="Arial" w:cs="Arial"/>
          <w:szCs w:val="24"/>
        </w:rPr>
        <w:t xml:space="preserve">CET1 </w:t>
      </w:r>
      <w:r w:rsidR="00A94306" w:rsidRPr="006E0E1B">
        <w:rPr>
          <w:rFonts w:ascii="Arial" w:eastAsia="Times New Roman" w:hAnsi="Arial" w:cs="Arial"/>
          <w:i/>
          <w:szCs w:val="24"/>
        </w:rPr>
        <w:t>Phased-In</w:t>
      </w:r>
      <w:r w:rsidR="009E6400" w:rsidRPr="006E0E1B">
        <w:rPr>
          <w:rFonts w:ascii="Arial" w:eastAsia="Times New Roman" w:hAnsi="Arial" w:cs="Arial"/>
          <w:szCs w:val="24"/>
        </w:rPr>
        <w:t xml:space="preserve"> alcanz</w:t>
      </w:r>
      <w:r w:rsidR="00121887" w:rsidRPr="006E0E1B">
        <w:rPr>
          <w:rFonts w:ascii="Arial" w:eastAsia="Times New Roman" w:hAnsi="Arial" w:cs="Arial"/>
          <w:szCs w:val="24"/>
        </w:rPr>
        <w:t>a</w:t>
      </w:r>
      <w:r w:rsidR="009E6400" w:rsidRPr="006E0E1B">
        <w:rPr>
          <w:rFonts w:ascii="Arial" w:eastAsia="Times New Roman" w:hAnsi="Arial" w:cs="Arial"/>
          <w:szCs w:val="24"/>
        </w:rPr>
        <w:t xml:space="preserve"> </w:t>
      </w:r>
      <w:r w:rsidR="00727D1F" w:rsidRPr="006E0E1B">
        <w:rPr>
          <w:rFonts w:ascii="Arial" w:eastAsia="Times New Roman" w:hAnsi="Arial" w:cs="Arial"/>
          <w:szCs w:val="24"/>
        </w:rPr>
        <w:t xml:space="preserve">igualmente </w:t>
      </w:r>
      <w:r w:rsidR="009E6400" w:rsidRPr="006E0E1B">
        <w:rPr>
          <w:rFonts w:ascii="Arial" w:eastAsia="Times New Roman" w:hAnsi="Arial" w:cs="Arial"/>
          <w:szCs w:val="24"/>
        </w:rPr>
        <w:t xml:space="preserve">el </w:t>
      </w:r>
      <w:r w:rsidR="00F81FD0" w:rsidRPr="006E0E1B">
        <w:rPr>
          <w:rFonts w:ascii="Arial" w:eastAsia="Times New Roman" w:hAnsi="Arial" w:cs="Arial"/>
          <w:szCs w:val="24"/>
        </w:rPr>
        <w:t>11</w:t>
      </w:r>
      <w:r w:rsidR="00263FD2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3</w:t>
      </w:r>
      <w:r w:rsidR="004024DB" w:rsidRPr="006E0E1B">
        <w:rPr>
          <w:rFonts w:ascii="Arial" w:eastAsia="Times New Roman" w:hAnsi="Arial" w:cs="Arial"/>
          <w:szCs w:val="24"/>
        </w:rPr>
        <w:t xml:space="preserve">% a </w:t>
      </w:r>
      <w:r w:rsidR="00727D1F" w:rsidRPr="006E0E1B">
        <w:rPr>
          <w:rFonts w:ascii="Arial" w:eastAsia="Times New Roman" w:hAnsi="Arial" w:cs="Arial"/>
          <w:szCs w:val="24"/>
        </w:rPr>
        <w:t>marzo de 2016</w:t>
      </w:r>
      <w:r w:rsidR="004024DB" w:rsidRPr="006E0E1B">
        <w:rPr>
          <w:rFonts w:ascii="Arial" w:eastAsia="Times New Roman" w:hAnsi="Arial" w:cs="Arial"/>
          <w:szCs w:val="24"/>
        </w:rPr>
        <w:t xml:space="preserve">, </w:t>
      </w:r>
      <w:r w:rsidR="00727D1F" w:rsidRPr="006E0E1B">
        <w:rPr>
          <w:rFonts w:ascii="Arial" w:eastAsia="Times New Roman" w:hAnsi="Arial" w:cs="Arial"/>
          <w:szCs w:val="24"/>
        </w:rPr>
        <w:t xml:space="preserve">superando ampliamente </w:t>
      </w:r>
      <w:r w:rsidR="00864EAC" w:rsidRPr="006E0E1B">
        <w:rPr>
          <w:rFonts w:ascii="Arial" w:eastAsia="Times New Roman" w:hAnsi="Arial" w:cs="Arial"/>
          <w:szCs w:val="24"/>
        </w:rPr>
        <w:t>el</w:t>
      </w:r>
      <w:r w:rsidR="00E67030" w:rsidRPr="006E0E1B">
        <w:rPr>
          <w:rFonts w:ascii="Arial" w:eastAsia="Times New Roman" w:hAnsi="Arial" w:cs="Arial"/>
          <w:szCs w:val="24"/>
        </w:rPr>
        <w:t xml:space="preserve"> requerimiento </w:t>
      </w:r>
      <w:r w:rsidR="009746FA" w:rsidRPr="006E0E1B">
        <w:rPr>
          <w:rFonts w:ascii="Arial" w:eastAsia="Times New Roman" w:hAnsi="Arial" w:cs="Arial"/>
          <w:szCs w:val="24"/>
        </w:rPr>
        <w:t>mínimo regulatorio de capital (</w:t>
      </w:r>
      <w:r w:rsidR="00E67030" w:rsidRPr="006E0E1B">
        <w:rPr>
          <w:rFonts w:ascii="Arial" w:eastAsia="Times New Roman" w:hAnsi="Arial" w:cs="Arial"/>
          <w:szCs w:val="24"/>
        </w:rPr>
        <w:t>SREP</w:t>
      </w:r>
      <w:r w:rsidR="009746FA" w:rsidRPr="006E0E1B">
        <w:rPr>
          <w:rFonts w:ascii="Arial" w:eastAsia="Times New Roman" w:hAnsi="Arial" w:cs="Arial"/>
          <w:szCs w:val="24"/>
        </w:rPr>
        <w:t>)</w:t>
      </w:r>
      <w:r w:rsidR="00E67030" w:rsidRPr="006E0E1B">
        <w:rPr>
          <w:rFonts w:ascii="Arial" w:eastAsia="Times New Roman" w:hAnsi="Arial" w:cs="Arial"/>
          <w:szCs w:val="24"/>
        </w:rPr>
        <w:t xml:space="preserve"> del </w:t>
      </w:r>
      <w:r w:rsidR="00727D1F" w:rsidRPr="006E0E1B">
        <w:rPr>
          <w:rFonts w:ascii="Arial" w:eastAsia="Times New Roman" w:hAnsi="Arial" w:cs="Arial"/>
          <w:szCs w:val="24"/>
        </w:rPr>
        <w:t>10</w:t>
      </w:r>
      <w:r w:rsidR="00E67030" w:rsidRPr="006E0E1B">
        <w:rPr>
          <w:rFonts w:ascii="Arial" w:eastAsia="Times New Roman" w:hAnsi="Arial" w:cs="Arial"/>
          <w:szCs w:val="24"/>
        </w:rPr>
        <w:t>,</w:t>
      </w:r>
      <w:r w:rsidR="00727D1F" w:rsidRPr="006E0E1B">
        <w:rPr>
          <w:rFonts w:ascii="Arial" w:eastAsia="Times New Roman" w:hAnsi="Arial" w:cs="Arial"/>
          <w:szCs w:val="24"/>
        </w:rPr>
        <w:t>2</w:t>
      </w:r>
      <w:r w:rsidR="00E67030" w:rsidRPr="006E0E1B">
        <w:rPr>
          <w:rFonts w:ascii="Arial" w:eastAsia="Times New Roman" w:hAnsi="Arial" w:cs="Arial"/>
          <w:szCs w:val="24"/>
        </w:rPr>
        <w:t>5%</w:t>
      </w:r>
      <w:r w:rsidR="00727D1F" w:rsidRPr="006E0E1B">
        <w:rPr>
          <w:rFonts w:ascii="Arial" w:eastAsia="Times New Roman" w:hAnsi="Arial" w:cs="Arial"/>
          <w:szCs w:val="24"/>
        </w:rPr>
        <w:t xml:space="preserve"> para </w:t>
      </w:r>
      <w:r w:rsidR="00C15EA7" w:rsidRPr="006E0E1B">
        <w:rPr>
          <w:rFonts w:ascii="Arial" w:eastAsia="Times New Roman" w:hAnsi="Arial" w:cs="Arial"/>
          <w:szCs w:val="24"/>
        </w:rPr>
        <w:t xml:space="preserve">el final de </w:t>
      </w:r>
      <w:r w:rsidR="00727D1F" w:rsidRPr="006E0E1B">
        <w:rPr>
          <w:rFonts w:ascii="Arial" w:eastAsia="Times New Roman" w:hAnsi="Arial" w:cs="Arial"/>
          <w:szCs w:val="24"/>
        </w:rPr>
        <w:t>2016</w:t>
      </w:r>
      <w:r w:rsidR="00E67030" w:rsidRPr="006E0E1B">
        <w:rPr>
          <w:rFonts w:ascii="Arial" w:eastAsia="Times New Roman" w:hAnsi="Arial" w:cs="Arial"/>
          <w:szCs w:val="24"/>
        </w:rPr>
        <w:t>.</w:t>
      </w:r>
    </w:p>
    <w:p w:rsidR="00B73A5F" w:rsidRDefault="00B73A5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897D52" w:rsidRDefault="00897D52" w:rsidP="00EA0EF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0E1B" w:rsidRDefault="006E0E1B" w:rsidP="00C14838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376AA0" w:rsidRPr="003A3006" w:rsidRDefault="00376AA0" w:rsidP="00C14838">
      <w:pPr>
        <w:jc w:val="center"/>
        <w:rPr>
          <w:rFonts w:cstheme="minorHAnsi"/>
          <w:b/>
          <w:color w:val="000000"/>
          <w:sz w:val="24"/>
          <w:szCs w:val="24"/>
        </w:rPr>
      </w:pPr>
      <w:r w:rsidRPr="003A3006">
        <w:rPr>
          <w:rFonts w:cstheme="minorHAnsi"/>
          <w:b/>
          <w:color w:val="000000"/>
          <w:sz w:val="24"/>
          <w:szCs w:val="24"/>
        </w:rPr>
        <w:t>Principales magnitudes Grupo BMN</w:t>
      </w:r>
    </w:p>
    <w:p w:rsidR="00376AA0" w:rsidRDefault="006E6FD6" w:rsidP="006E6FD6">
      <w:pPr>
        <w:tabs>
          <w:tab w:val="center" w:pos="4252"/>
          <w:tab w:val="left" w:pos="5894"/>
        </w:tabs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 w:rsidR="00376AA0" w:rsidRPr="003A3006">
        <w:rPr>
          <w:rFonts w:cstheme="minorHAnsi"/>
          <w:b/>
          <w:color w:val="000000"/>
          <w:sz w:val="24"/>
          <w:szCs w:val="24"/>
        </w:rPr>
        <w:t xml:space="preserve">Millones de euros </w:t>
      </w:r>
      <w:r>
        <w:rPr>
          <w:rFonts w:cstheme="minorHAnsi"/>
          <w:b/>
          <w:color w:val="000000"/>
          <w:sz w:val="24"/>
          <w:szCs w:val="24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275"/>
        <w:gridCol w:w="1276"/>
      </w:tblGrid>
      <w:tr w:rsidR="00CB4EA7" w:rsidRPr="00711C17" w:rsidTr="00483DC7">
        <w:trPr>
          <w:trHeight w:val="4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EA7" w:rsidRPr="00DA3C87" w:rsidRDefault="00CB4EA7" w:rsidP="00B45CB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7" w:rsidRPr="00DA3C87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Mar</w:t>
            </w:r>
            <w:r w:rsidR="006E6FD6">
              <w:rPr>
                <w:rFonts w:eastAsia="Times New Roman" w:cstheme="minorHAnsi"/>
                <w:sz w:val="24"/>
                <w:szCs w:val="24"/>
              </w:rPr>
              <w:t>-1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A7" w:rsidRPr="00DA3C87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Mar</w:t>
            </w:r>
            <w:r w:rsidR="006E6FD6">
              <w:rPr>
                <w:rFonts w:eastAsia="Times New Roman" w:cstheme="minorHAnsi"/>
                <w:sz w:val="24"/>
                <w:szCs w:val="24"/>
              </w:rPr>
              <w:t>-1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E46A7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D7BF7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F7" w:rsidRPr="00DA3C87" w:rsidRDefault="00CD7BF7" w:rsidP="00B45CB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Margen de intereses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E6FD6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6E6FD6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 w:rsidP="006E6FD6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99</w:t>
            </w:r>
          </w:p>
        </w:tc>
      </w:tr>
      <w:tr w:rsidR="00CD7BF7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CD7BF7" w:rsidRPr="009A7D23" w:rsidTr="009A7D23">
              <w:trPr>
                <w:trHeight w:val="300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7BF7" w:rsidRPr="00C14838" w:rsidRDefault="00CD7BF7" w:rsidP="00C14838">
                  <w:pPr>
                    <w:spacing w:before="240" w:after="0" w:line="240" w:lineRule="auto"/>
                    <w:ind w:hanging="7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14838">
                    <w:rPr>
                      <w:rFonts w:eastAsia="Times New Roman" w:cstheme="minorHAnsi"/>
                      <w:sz w:val="24"/>
                      <w:szCs w:val="24"/>
                    </w:rPr>
                    <w:t>Comisiones netas</w:t>
                  </w:r>
                </w:p>
              </w:tc>
            </w:tr>
          </w:tbl>
          <w:p w:rsidR="00CD7BF7" w:rsidRPr="00DA3C87" w:rsidRDefault="00CD7BF7" w:rsidP="00D0448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 w:rsidP="006E6FD6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</w:tr>
      <w:tr w:rsidR="00CD7BF7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CD7BF7" w:rsidRPr="009A7D23" w:rsidTr="009A7D23">
              <w:trPr>
                <w:trHeight w:val="300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7BF7" w:rsidRPr="00C14838" w:rsidRDefault="00CD7BF7" w:rsidP="00C14838">
                  <w:pPr>
                    <w:spacing w:before="240" w:after="0" w:line="240" w:lineRule="auto"/>
                    <w:ind w:hanging="70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C14838">
                    <w:rPr>
                      <w:rFonts w:eastAsia="Times New Roman" w:cstheme="minorHAnsi"/>
                      <w:sz w:val="24"/>
                      <w:szCs w:val="24"/>
                    </w:rPr>
                    <w:t xml:space="preserve">Resultado de operaciones financieras 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>y dif. de cambio</w:t>
                  </w:r>
                </w:p>
              </w:tc>
            </w:tr>
          </w:tbl>
          <w:p w:rsidR="00CD7BF7" w:rsidRPr="00DA3C87" w:rsidRDefault="00CD7BF7" w:rsidP="00D0448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001302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 w:rsidP="006E6FD6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</w:tr>
      <w:tr w:rsidR="00CD7BF7" w:rsidRPr="00711C17" w:rsidTr="00CC117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F7" w:rsidRPr="00DA3C87" w:rsidRDefault="00CD7BF7" w:rsidP="00B45CB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A3C87">
              <w:rPr>
                <w:rFonts w:eastAsia="Times New Roman" w:cstheme="minorHAnsi"/>
                <w:sz w:val="24"/>
                <w:szCs w:val="24"/>
              </w:rPr>
              <w:t xml:space="preserve">Margen bruto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192</w:t>
            </w:r>
          </w:p>
        </w:tc>
      </w:tr>
      <w:tr w:rsidR="00CD7BF7" w:rsidRPr="00711C17" w:rsidTr="00CC117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F7" w:rsidRPr="00711C17" w:rsidRDefault="00CD7BF7" w:rsidP="00B45CB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A3C87">
              <w:rPr>
                <w:rFonts w:eastAsia="Times New Roman" w:cstheme="minorHAnsi"/>
                <w:sz w:val="24"/>
                <w:szCs w:val="24"/>
              </w:rPr>
              <w:t xml:space="preserve">Gastos de explotación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E6FD6">
              <w:rPr>
                <w:rFonts w:eastAsia="Times New Roman" w:cstheme="minorHAnsi"/>
                <w:sz w:val="24"/>
                <w:szCs w:val="24"/>
              </w:rPr>
              <w:t>-9</w:t>
            </w: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</w:rPr>
              <w:t>92</w:t>
            </w:r>
          </w:p>
        </w:tc>
      </w:tr>
      <w:tr w:rsidR="00CD7BF7" w:rsidRPr="00711C17" w:rsidTr="00CC117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F7" w:rsidRPr="00DA3C87" w:rsidRDefault="00CD7BF7" w:rsidP="00B45CB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A3C87">
              <w:rPr>
                <w:rFonts w:eastAsia="Times New Roman" w:cstheme="minorHAnsi"/>
                <w:sz w:val="24"/>
                <w:szCs w:val="24"/>
              </w:rPr>
              <w:t xml:space="preserve">Resultado antes de provisiones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E6FD6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BE64F3" w:rsidP="00567EDF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101</w:t>
            </w:r>
          </w:p>
        </w:tc>
      </w:tr>
      <w:tr w:rsidR="00CD7BF7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F7" w:rsidRPr="00DA3C87" w:rsidRDefault="00CD7BF7" w:rsidP="00567EDF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A3C87">
              <w:rPr>
                <w:rFonts w:eastAsia="Times New Roman" w:cstheme="minorHAnsi"/>
                <w:sz w:val="24"/>
                <w:szCs w:val="24"/>
              </w:rPr>
              <w:t>Pérdidas por deterioro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y </w:t>
            </w:r>
            <w:r w:rsidRPr="00DA3C87">
              <w:rPr>
                <w:rFonts w:eastAsia="Times New Roman" w:cstheme="minorHAnsi"/>
                <w:sz w:val="24"/>
                <w:szCs w:val="24"/>
              </w:rPr>
              <w:t>dotaciones a provisiones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E6FD6"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 w:rsidP="00BE64F3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4"/>
              </w:rPr>
              <w:t>-</w:t>
            </w:r>
            <w:r w:rsidR="00BE64F3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</w:tr>
      <w:tr w:rsidR="00CD7BF7" w:rsidRPr="00711C17" w:rsidTr="00CC117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F7" w:rsidRPr="00DA3C87" w:rsidRDefault="00CD7BF7" w:rsidP="00D0448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A3C87">
              <w:rPr>
                <w:rFonts w:eastAsia="Times New Roman" w:cstheme="minorHAnsi"/>
                <w:sz w:val="24"/>
                <w:szCs w:val="24"/>
              </w:rPr>
              <w:t xml:space="preserve">Resultado neto atribuido al </w:t>
            </w:r>
            <w:r>
              <w:rPr>
                <w:rFonts w:eastAsia="Times New Roman" w:cstheme="minorHAnsi"/>
                <w:sz w:val="24"/>
                <w:szCs w:val="24"/>
              </w:rPr>
              <w:t>G</w:t>
            </w:r>
            <w:r w:rsidRPr="00DA3C87">
              <w:rPr>
                <w:rFonts w:eastAsia="Times New Roman" w:cstheme="minorHAnsi"/>
                <w:sz w:val="24"/>
                <w:szCs w:val="24"/>
              </w:rPr>
              <w:t>rupo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E6FD6" w:rsidRDefault="00CD7BF7" w:rsidP="00CC117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BF7" w:rsidRPr="00687592" w:rsidRDefault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5F3F16" w:rsidRPr="00711C17" w:rsidTr="005F3F16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DA3C87" w:rsidRDefault="005F3F16" w:rsidP="00CD7BF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ROTE (%)</w:t>
            </w:r>
            <w:r w:rsidRPr="00DA3C87">
              <w:rPr>
                <w:rFonts w:eastAsia="Times New Roman" w:cstheme="minorHAnsi"/>
                <w:sz w:val="24"/>
                <w:szCs w:val="24"/>
                <w:vertAlign w:val="superscript"/>
              </w:rPr>
              <w:t>(</w:t>
            </w:r>
            <w:r w:rsidR="00CD7BF7">
              <w:rPr>
                <w:rFonts w:eastAsia="Times New Roman" w:cstheme="minorHAnsi"/>
                <w:sz w:val="24"/>
                <w:szCs w:val="24"/>
                <w:vertAlign w:val="superscript"/>
              </w:rPr>
              <w:t>1</w:t>
            </w:r>
            <w:r w:rsidRPr="00DA3C87">
              <w:rPr>
                <w:rFonts w:eastAsia="Times New Roman"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096DCE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5</w:t>
            </w:r>
            <w:r w:rsidR="00A856F4">
              <w:rPr>
                <w:rFonts w:eastAsia="Times New Roman" w:cstheme="minorHAnsi"/>
                <w:sz w:val="24"/>
                <w:szCs w:val="20"/>
              </w:rPr>
              <w:t>,</w:t>
            </w:r>
            <w:r>
              <w:rPr>
                <w:rFonts w:eastAsia="Times New Roman" w:cstheme="minorHAnsi"/>
                <w:sz w:val="24"/>
                <w:szCs w:val="20"/>
              </w:rPr>
              <w:t>3</w:t>
            </w:r>
            <w:r w:rsidR="00A856F4">
              <w:rPr>
                <w:rFonts w:eastAsia="Times New Roman" w:cstheme="minorHAnsi"/>
                <w:sz w:val="24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096DCE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="00A856F4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>8</w:t>
            </w:r>
            <w:r w:rsidR="00A856F4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5F3F16" w:rsidRPr="00711C17" w:rsidTr="005F3F16">
        <w:trPr>
          <w:trHeight w:val="20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DA3C87" w:rsidRDefault="005F3F16" w:rsidP="00E725D0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A3C87">
              <w:rPr>
                <w:rFonts w:eastAsia="Times New Roman" w:cstheme="minorHAnsi"/>
                <w:sz w:val="24"/>
                <w:szCs w:val="24"/>
              </w:rPr>
              <w:t>Activos totales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687592" w:rsidRDefault="005F3F1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687592">
              <w:rPr>
                <w:rFonts w:eastAsia="Times New Roman" w:cstheme="minorHAnsi"/>
                <w:sz w:val="24"/>
                <w:szCs w:val="20"/>
              </w:rPr>
              <w:t>4</w:t>
            </w:r>
            <w:r w:rsidR="00CD7BF7">
              <w:rPr>
                <w:rFonts w:eastAsia="Times New Roman" w:cstheme="minorHAnsi"/>
                <w:sz w:val="24"/>
                <w:szCs w:val="20"/>
              </w:rPr>
              <w:t>4</w:t>
            </w:r>
            <w:r w:rsidRPr="00687592">
              <w:rPr>
                <w:rFonts w:eastAsia="Times New Roman" w:cstheme="minorHAnsi"/>
                <w:sz w:val="24"/>
                <w:szCs w:val="20"/>
              </w:rPr>
              <w:t>.</w:t>
            </w:r>
            <w:r w:rsidR="00CD7BF7">
              <w:rPr>
                <w:rFonts w:eastAsia="Times New Roman" w:cstheme="minorHAnsi"/>
                <w:sz w:val="24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A55D8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4"/>
              </w:rPr>
              <w:t>4</w:t>
            </w:r>
            <w:r w:rsidR="00226510">
              <w:rPr>
                <w:rFonts w:eastAsia="Times New Roman" w:cstheme="minorHAnsi"/>
                <w:sz w:val="24"/>
                <w:szCs w:val="24"/>
              </w:rPr>
              <w:t>0</w:t>
            </w:r>
            <w:r w:rsidRPr="00687592">
              <w:rPr>
                <w:rFonts w:eastAsia="Times New Roman" w:cstheme="minorHAnsi"/>
                <w:sz w:val="24"/>
                <w:szCs w:val="24"/>
              </w:rPr>
              <w:t>.7</w:t>
            </w:r>
            <w:r w:rsidR="00CD7BF7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</w:tr>
      <w:tr w:rsidR="005F3F16" w:rsidRPr="00711C17" w:rsidTr="005F3F16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DA3C87" w:rsidRDefault="005F3F16" w:rsidP="00AF1D2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Crédito a la clientela bruto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096DCE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24.736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096DCE" w:rsidRDefault="00A856F4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CD7BF7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CD7BF7">
              <w:rPr>
                <w:rFonts w:eastAsia="Times New Roman" w:cstheme="minorHAnsi"/>
                <w:sz w:val="24"/>
                <w:szCs w:val="24"/>
              </w:rPr>
              <w:t>939</w:t>
            </w:r>
          </w:p>
        </w:tc>
      </w:tr>
      <w:tr w:rsidR="005F3F16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9B1F21" w:rsidRDefault="005F3F16" w:rsidP="00D0448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1F21">
              <w:rPr>
                <w:rFonts w:eastAsia="Times New Roman" w:cstheme="minorHAnsi"/>
                <w:sz w:val="24"/>
                <w:szCs w:val="24"/>
              </w:rPr>
              <w:t xml:space="preserve">  Del que: rentable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096DCE" w:rsidRDefault="00CD7BF7" w:rsidP="00564BF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096DCE" w:rsidRDefault="00A856F4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</w:t>
            </w:r>
            <w:r w:rsidR="00CD7BF7">
              <w:rPr>
                <w:rFonts w:eastAsia="Times New Roman" w:cstheme="minorHAnsi"/>
                <w:sz w:val="24"/>
                <w:szCs w:val="24"/>
              </w:rPr>
              <w:t>234</w:t>
            </w:r>
          </w:p>
        </w:tc>
      </w:tr>
      <w:tr w:rsidR="005F3F16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9B1F21" w:rsidRDefault="005F3F16" w:rsidP="009B1F21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B1F21">
              <w:rPr>
                <w:rFonts w:eastAsia="Times New Roman" w:cstheme="minorHAnsi"/>
                <w:sz w:val="24"/>
                <w:szCs w:val="24"/>
              </w:rPr>
              <w:t xml:space="preserve">  Del que: </w:t>
            </w:r>
            <w:r>
              <w:rPr>
                <w:rFonts w:eastAsia="Times New Roman" w:cstheme="minorHAnsi"/>
                <w:sz w:val="24"/>
                <w:szCs w:val="24"/>
              </w:rPr>
              <w:t>dudoso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096DCE" w:rsidRDefault="00CD7BF7" w:rsidP="00CB3E6D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096DCE" w:rsidRDefault="00A856F4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2.7</w:t>
            </w:r>
            <w:r w:rsidR="00CD7BF7">
              <w:rPr>
                <w:rFonts w:eastAsia="Times New Roman" w:cstheme="minorHAnsi"/>
                <w:sz w:val="24"/>
                <w:szCs w:val="24"/>
              </w:rPr>
              <w:t>05</w:t>
            </w:r>
          </w:p>
        </w:tc>
      </w:tr>
      <w:tr w:rsidR="005F3F16" w:rsidRPr="00791FC3" w:rsidTr="00483DC7">
        <w:trPr>
          <w:trHeight w:val="2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8625C0" w:rsidRDefault="005F3F16" w:rsidP="00AF1D2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25C0">
              <w:rPr>
                <w:rFonts w:eastAsia="Times New Roman" w:cstheme="minorHAnsi"/>
                <w:sz w:val="24"/>
                <w:szCs w:val="24"/>
              </w:rPr>
              <w:t xml:space="preserve">Depósitos de la clientela minoristas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5F3F1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color w:val="000000" w:themeColor="text1"/>
                <w:sz w:val="24"/>
                <w:szCs w:val="20"/>
              </w:rPr>
              <w:t>2</w:t>
            </w:r>
            <w:r w:rsidR="00CD7BF7">
              <w:rPr>
                <w:rFonts w:eastAsia="Times New Roman" w:cstheme="minorHAnsi"/>
                <w:color w:val="000000" w:themeColor="text1"/>
                <w:sz w:val="24"/>
                <w:szCs w:val="20"/>
              </w:rPr>
              <w:t>2</w:t>
            </w:r>
            <w:r w:rsidRPr="00687592">
              <w:rPr>
                <w:rFonts w:eastAsia="Times New Roman" w:cstheme="minorHAnsi"/>
                <w:color w:val="000000" w:themeColor="text1"/>
                <w:sz w:val="24"/>
                <w:szCs w:val="20"/>
              </w:rPr>
              <w:t>.</w:t>
            </w:r>
            <w:r w:rsidR="00CD7BF7">
              <w:rPr>
                <w:rFonts w:eastAsia="Times New Roman" w:cstheme="minorHAnsi"/>
                <w:color w:val="000000" w:themeColor="text1"/>
                <w:sz w:val="24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A55D8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4"/>
              </w:rPr>
              <w:t>2</w:t>
            </w:r>
            <w:r w:rsidR="00226510">
              <w:rPr>
                <w:rFonts w:eastAsia="Times New Roman" w:cstheme="minorHAnsi"/>
                <w:sz w:val="24"/>
                <w:szCs w:val="24"/>
              </w:rPr>
              <w:t>2</w:t>
            </w:r>
            <w:r w:rsidR="00687592" w:rsidRPr="00687592">
              <w:rPr>
                <w:rFonts w:eastAsia="Times New Roman" w:cstheme="minorHAnsi"/>
                <w:sz w:val="24"/>
                <w:szCs w:val="24"/>
              </w:rPr>
              <w:t>.</w:t>
            </w:r>
            <w:r w:rsidR="00CD7BF7">
              <w:rPr>
                <w:rFonts w:eastAsia="Times New Roman" w:cstheme="minorHAnsi"/>
                <w:sz w:val="24"/>
                <w:szCs w:val="24"/>
              </w:rPr>
              <w:t>468</w:t>
            </w:r>
          </w:p>
        </w:tc>
      </w:tr>
      <w:tr w:rsidR="005F3F16" w:rsidRPr="00791FC3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8625C0" w:rsidRDefault="005F3F16" w:rsidP="00CD7BF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25C0">
              <w:rPr>
                <w:rFonts w:eastAsia="Times New Roman" w:cstheme="minorHAnsi"/>
                <w:sz w:val="24"/>
                <w:szCs w:val="24"/>
              </w:rPr>
              <w:t xml:space="preserve">Créditos sobre </w:t>
            </w:r>
            <w:r>
              <w:rPr>
                <w:rFonts w:eastAsia="Times New Roman" w:cstheme="minorHAnsi"/>
                <w:sz w:val="24"/>
                <w:szCs w:val="24"/>
              </w:rPr>
              <w:t>depósitos</w:t>
            </w:r>
            <w:r w:rsidRPr="008625C0">
              <w:rPr>
                <w:rFonts w:eastAsia="Times New Roman" w:cstheme="minorHAnsi"/>
                <w:sz w:val="24"/>
                <w:szCs w:val="24"/>
              </w:rPr>
              <w:t xml:space="preserve"> minoristas (%)</w:t>
            </w:r>
            <w:r w:rsidRPr="00791FC3">
              <w:rPr>
                <w:rFonts w:eastAsia="Times New Roman" w:cstheme="minorHAnsi"/>
                <w:sz w:val="24"/>
                <w:szCs w:val="24"/>
                <w:vertAlign w:val="superscript"/>
              </w:rPr>
              <w:t>(</w:t>
            </w:r>
            <w:r w:rsidR="00CD7BF7">
              <w:rPr>
                <w:rFonts w:eastAsia="Times New Roman" w:cstheme="minorHAnsi"/>
                <w:sz w:val="24"/>
                <w:szCs w:val="24"/>
                <w:vertAlign w:val="superscript"/>
              </w:rPr>
              <w:t>2</w:t>
            </w:r>
            <w:r w:rsidR="00864EAC">
              <w:rPr>
                <w:rFonts w:eastAsia="Times New Roman"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5F3F1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0"/>
              </w:rPr>
              <w:t>9</w:t>
            </w:r>
            <w:r w:rsidR="00CD7BF7">
              <w:rPr>
                <w:rFonts w:eastAsia="Times New Roman" w:cstheme="minorHAnsi"/>
                <w:sz w:val="24"/>
                <w:szCs w:val="20"/>
              </w:rPr>
              <w:t>9</w:t>
            </w:r>
            <w:r w:rsidRPr="00687592">
              <w:rPr>
                <w:rFonts w:eastAsia="Times New Roman" w:cstheme="minorHAnsi"/>
                <w:sz w:val="24"/>
                <w:szCs w:val="20"/>
              </w:rPr>
              <w:t>,</w:t>
            </w:r>
            <w:r w:rsidR="00CD7BF7">
              <w:rPr>
                <w:rFonts w:eastAsia="Times New Roman" w:cstheme="minorHAnsi"/>
                <w:sz w:val="24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CD7BF7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96</w:t>
            </w:r>
            <w:r w:rsidR="00A55D86" w:rsidRPr="00687592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5F3F16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16" w:rsidRPr="00DA3C87" w:rsidRDefault="005F3F16" w:rsidP="00D0448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Tasa de mora</w:t>
            </w:r>
            <w:r w:rsidRPr="00DA3C87">
              <w:rPr>
                <w:rFonts w:eastAsia="Times New Roman" w:cstheme="minorHAnsi"/>
                <w:sz w:val="24"/>
                <w:szCs w:val="24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5F3F1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0"/>
              </w:rPr>
              <w:t>13,</w:t>
            </w:r>
            <w:r w:rsidR="00CD7BF7">
              <w:rPr>
                <w:rFonts w:eastAsia="Times New Roman" w:cstheme="minorHAnsi"/>
                <w:sz w:val="24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F16" w:rsidRPr="00687592" w:rsidRDefault="00A55D86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7592">
              <w:rPr>
                <w:rFonts w:eastAsia="Times New Roman" w:cstheme="minorHAnsi"/>
                <w:sz w:val="24"/>
                <w:szCs w:val="24"/>
              </w:rPr>
              <w:t>1</w:t>
            </w:r>
            <w:r w:rsidR="00A856F4">
              <w:rPr>
                <w:rFonts w:eastAsia="Times New Roman" w:cstheme="minorHAnsi"/>
                <w:sz w:val="24"/>
                <w:szCs w:val="24"/>
              </w:rPr>
              <w:t>1</w:t>
            </w:r>
            <w:r w:rsidRPr="00687592">
              <w:rPr>
                <w:rFonts w:eastAsia="Times New Roman" w:cstheme="minorHAnsi"/>
                <w:sz w:val="24"/>
                <w:szCs w:val="24"/>
              </w:rPr>
              <w:t>,</w:t>
            </w:r>
            <w:r w:rsidR="00CD7BF7"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</w:tr>
      <w:tr w:rsidR="00AB0322" w:rsidRPr="00711C17" w:rsidTr="00483DC7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22" w:rsidRDefault="00AB0322" w:rsidP="00D0448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Tasa de cobertura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322" w:rsidRPr="00687592" w:rsidRDefault="00AB0322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>
              <w:rPr>
                <w:rFonts w:eastAsia="Times New Roman" w:cstheme="minorHAnsi"/>
                <w:sz w:val="24"/>
                <w:szCs w:val="20"/>
              </w:rPr>
              <w:t>4</w:t>
            </w:r>
            <w:r w:rsidR="00CD7BF7">
              <w:rPr>
                <w:rFonts w:eastAsia="Times New Roman" w:cstheme="minorHAnsi"/>
                <w:sz w:val="24"/>
                <w:szCs w:val="20"/>
              </w:rPr>
              <w:t>1</w:t>
            </w:r>
            <w:r>
              <w:rPr>
                <w:rFonts w:eastAsia="Times New Roman" w:cstheme="minorHAnsi"/>
                <w:sz w:val="24"/>
                <w:szCs w:val="20"/>
              </w:rPr>
              <w:t>,</w:t>
            </w:r>
            <w:r w:rsidR="00CD7BF7">
              <w:rPr>
                <w:rFonts w:eastAsia="Times New Roman" w:cstheme="minorHAnsi"/>
                <w:sz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322" w:rsidRPr="00687592" w:rsidRDefault="00AB0322" w:rsidP="00CD7BF7">
            <w:pPr>
              <w:spacing w:before="240"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="00CD7BF7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,5</w:t>
            </w:r>
          </w:p>
        </w:tc>
      </w:tr>
    </w:tbl>
    <w:p w:rsidR="00E05B70" w:rsidRPr="00523486" w:rsidRDefault="00E05B70" w:rsidP="00523486">
      <w:pPr>
        <w:numPr>
          <w:ilvl w:val="0"/>
          <w:numId w:val="4"/>
        </w:numPr>
        <w:spacing w:before="120" w:after="0" w:line="240" w:lineRule="auto"/>
        <w:ind w:left="227" w:hanging="227"/>
        <w:jc w:val="both"/>
        <w:rPr>
          <w:rFonts w:eastAsia="Times New Roman" w:cstheme="minorHAnsi"/>
          <w:i/>
          <w:sz w:val="16"/>
          <w:szCs w:val="16"/>
        </w:rPr>
      </w:pPr>
      <w:r w:rsidRPr="00523486">
        <w:rPr>
          <w:rFonts w:eastAsia="Times New Roman" w:cstheme="minorHAnsi"/>
          <w:i/>
          <w:sz w:val="16"/>
          <w:szCs w:val="16"/>
        </w:rPr>
        <w:t>Rentabilidad sobre fondos propios medio</w:t>
      </w:r>
      <w:r w:rsidR="00FF5368" w:rsidRPr="00523486">
        <w:rPr>
          <w:rFonts w:eastAsia="Times New Roman" w:cstheme="minorHAnsi"/>
          <w:i/>
          <w:sz w:val="16"/>
          <w:szCs w:val="16"/>
        </w:rPr>
        <w:t>s tangibles (excluyendo Activo I</w:t>
      </w:r>
      <w:r w:rsidRPr="00523486">
        <w:rPr>
          <w:rFonts w:eastAsia="Times New Roman" w:cstheme="minorHAnsi"/>
          <w:i/>
          <w:sz w:val="16"/>
          <w:szCs w:val="16"/>
        </w:rPr>
        <w:t>nmaterial)</w:t>
      </w:r>
    </w:p>
    <w:p w:rsidR="00BE760E" w:rsidRPr="00263FD2" w:rsidRDefault="00F90110" w:rsidP="00523486">
      <w:pPr>
        <w:numPr>
          <w:ilvl w:val="0"/>
          <w:numId w:val="4"/>
        </w:numPr>
        <w:spacing w:before="120" w:after="0" w:line="240" w:lineRule="auto"/>
        <w:ind w:left="227" w:hanging="227"/>
        <w:jc w:val="both"/>
        <w:rPr>
          <w:rFonts w:eastAsia="Times New Roman" w:cstheme="minorHAnsi"/>
          <w:sz w:val="16"/>
          <w:szCs w:val="16"/>
        </w:rPr>
      </w:pPr>
      <w:r w:rsidRPr="00523486">
        <w:rPr>
          <w:rFonts w:eastAsia="Times New Roman" w:cstheme="minorHAnsi"/>
          <w:i/>
          <w:sz w:val="16"/>
          <w:szCs w:val="16"/>
        </w:rPr>
        <w:t>Excluidos del cálculo los créditos de mediación con fondos ICO.</w:t>
      </w:r>
    </w:p>
    <w:sectPr w:rsidR="00BE760E" w:rsidRPr="00263FD2" w:rsidSect="00465F90">
      <w:headerReference w:type="default" r:id="rId8"/>
      <w:footerReference w:type="default" r:id="rId9"/>
      <w:pgSz w:w="11906" w:h="16838"/>
      <w:pgMar w:top="226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16" w:rsidRDefault="004E3616" w:rsidP="00A81BA1">
      <w:pPr>
        <w:spacing w:after="0" w:line="240" w:lineRule="auto"/>
      </w:pPr>
      <w:r>
        <w:separator/>
      </w:r>
    </w:p>
  </w:endnote>
  <w:endnote w:type="continuationSeparator" w:id="0">
    <w:p w:rsidR="004E3616" w:rsidRDefault="004E3616" w:rsidP="00A8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439866"/>
      <w:docPartObj>
        <w:docPartGallery w:val="Page Numbers (Bottom of Page)"/>
        <w:docPartUnique/>
      </w:docPartObj>
    </w:sdtPr>
    <w:sdtEndPr/>
    <w:sdtContent>
      <w:p w:rsidR="00CC1177" w:rsidRDefault="00CC11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D9">
          <w:rPr>
            <w:noProof/>
          </w:rPr>
          <w:t>2</w:t>
        </w:r>
        <w:r>
          <w:fldChar w:fldCharType="end"/>
        </w:r>
      </w:p>
    </w:sdtContent>
  </w:sdt>
  <w:p w:rsidR="00CC1177" w:rsidRPr="00C21808" w:rsidRDefault="00CC1177">
    <w:pPr>
      <w:pStyle w:val="Piedepgina"/>
      <w:rPr>
        <w:rFonts w:ascii="Arial" w:hAnsi="Arial" w:cs="Arial"/>
        <w:color w:val="404040" w:themeColor="text1" w:themeTint="BF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16" w:rsidRDefault="004E3616" w:rsidP="00A81BA1">
      <w:pPr>
        <w:spacing w:after="0" w:line="240" w:lineRule="auto"/>
      </w:pPr>
      <w:r>
        <w:separator/>
      </w:r>
    </w:p>
  </w:footnote>
  <w:footnote w:type="continuationSeparator" w:id="0">
    <w:p w:rsidR="004E3616" w:rsidRDefault="004E3616" w:rsidP="00A8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7" w:rsidRDefault="00CC1177">
    <w:pPr>
      <w:pStyle w:val="Encabezado"/>
      <w:rPr>
        <w:rFonts w:ascii="Arial" w:hAnsi="Arial" w:cs="Arial"/>
        <w:b/>
        <w:color w:val="595959" w:themeColor="text1" w:themeTint="A6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88062F5" wp14:editId="506132A3">
          <wp:simplePos x="0" y="0"/>
          <wp:positionH relativeFrom="column">
            <wp:posOffset>3884295</wp:posOffset>
          </wp:positionH>
          <wp:positionV relativeFrom="paragraph">
            <wp:posOffset>-116840</wp:posOffset>
          </wp:positionV>
          <wp:extent cx="1502410" cy="1007110"/>
          <wp:effectExtent l="0" t="0" r="2540" b="2540"/>
          <wp:wrapTight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uevabanc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177" w:rsidRPr="00C21808" w:rsidRDefault="00CC1177" w:rsidP="002A3985">
    <w:pPr>
      <w:pStyle w:val="Encabezado"/>
      <w:rPr>
        <w:b/>
        <w:smallCaps/>
        <w:color w:val="404040" w:themeColor="text1" w:themeTint="BF"/>
        <w:sz w:val="44"/>
        <w:szCs w:val="28"/>
      </w:rPr>
    </w:pPr>
    <w:r>
      <w:rPr>
        <w:rFonts w:ascii="Arial" w:hAnsi="Arial" w:cs="Arial"/>
        <w:b/>
        <w:smallCaps/>
        <w:color w:val="404040" w:themeColor="text1" w:themeTint="BF"/>
        <w:sz w:val="44"/>
        <w:szCs w:val="28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37.5pt" o:bullet="t">
        <v:imagedata r:id="rId1" o:title="ONDA"/>
      </v:shape>
    </w:pict>
  </w:numPicBullet>
  <w:abstractNum w:abstractNumId="0" w15:restartNumberingAfterBreak="0">
    <w:nsid w:val="286F51C3"/>
    <w:multiLevelType w:val="hybridMultilevel"/>
    <w:tmpl w:val="92600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1CAF"/>
    <w:multiLevelType w:val="hybridMultilevel"/>
    <w:tmpl w:val="3D067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10E0C"/>
    <w:multiLevelType w:val="hybridMultilevel"/>
    <w:tmpl w:val="7F24E5CA"/>
    <w:lvl w:ilvl="0" w:tplc="0CC666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0179"/>
    <w:multiLevelType w:val="hybridMultilevel"/>
    <w:tmpl w:val="6C72B5D8"/>
    <w:lvl w:ilvl="0" w:tplc="B7105B60">
      <w:start w:val="1"/>
      <w:numFmt w:val="decimal"/>
      <w:lvlText w:val="(%1)"/>
      <w:lvlJc w:val="left"/>
      <w:pPr>
        <w:ind w:left="644" w:hanging="360"/>
      </w:pPr>
      <w:rPr>
        <w:rFonts w:asciiTheme="minorHAnsi" w:hAnsiTheme="minorHAnsi" w:cstheme="minorHAnsi" w:hint="default"/>
        <w:i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A1"/>
    <w:rsid w:val="00001302"/>
    <w:rsid w:val="000076ED"/>
    <w:rsid w:val="00007ABD"/>
    <w:rsid w:val="00010DD8"/>
    <w:rsid w:val="00012AA0"/>
    <w:rsid w:val="00016DCD"/>
    <w:rsid w:val="0002016A"/>
    <w:rsid w:val="00022F3E"/>
    <w:rsid w:val="00024AF7"/>
    <w:rsid w:val="000276BB"/>
    <w:rsid w:val="00027C72"/>
    <w:rsid w:val="00030061"/>
    <w:rsid w:val="00030E46"/>
    <w:rsid w:val="00030F9F"/>
    <w:rsid w:val="00031376"/>
    <w:rsid w:val="00031E36"/>
    <w:rsid w:val="0003293C"/>
    <w:rsid w:val="00033486"/>
    <w:rsid w:val="000364BA"/>
    <w:rsid w:val="00037726"/>
    <w:rsid w:val="000400D1"/>
    <w:rsid w:val="00042C4A"/>
    <w:rsid w:val="00042F87"/>
    <w:rsid w:val="000465DD"/>
    <w:rsid w:val="000508B1"/>
    <w:rsid w:val="00051CB3"/>
    <w:rsid w:val="00061239"/>
    <w:rsid w:val="00067602"/>
    <w:rsid w:val="00067C64"/>
    <w:rsid w:val="00070C66"/>
    <w:rsid w:val="00077024"/>
    <w:rsid w:val="000823E3"/>
    <w:rsid w:val="0008521C"/>
    <w:rsid w:val="00086214"/>
    <w:rsid w:val="00086BF8"/>
    <w:rsid w:val="0009306D"/>
    <w:rsid w:val="0009392B"/>
    <w:rsid w:val="00095114"/>
    <w:rsid w:val="00096DCE"/>
    <w:rsid w:val="000A116B"/>
    <w:rsid w:val="000A6415"/>
    <w:rsid w:val="000A6976"/>
    <w:rsid w:val="000B3A35"/>
    <w:rsid w:val="000B52FF"/>
    <w:rsid w:val="000B7D7E"/>
    <w:rsid w:val="000C0082"/>
    <w:rsid w:val="000C21AB"/>
    <w:rsid w:val="000C4FEC"/>
    <w:rsid w:val="000C6347"/>
    <w:rsid w:val="000D6973"/>
    <w:rsid w:val="000E5501"/>
    <w:rsid w:val="000E7DB6"/>
    <w:rsid w:val="000F2675"/>
    <w:rsid w:val="000F3688"/>
    <w:rsid w:val="000F39F4"/>
    <w:rsid w:val="00100550"/>
    <w:rsid w:val="001011AF"/>
    <w:rsid w:val="00101ACC"/>
    <w:rsid w:val="001063D9"/>
    <w:rsid w:val="00106A7A"/>
    <w:rsid w:val="00106E2B"/>
    <w:rsid w:val="00112CCB"/>
    <w:rsid w:val="00114278"/>
    <w:rsid w:val="00120BB8"/>
    <w:rsid w:val="001215FA"/>
    <w:rsid w:val="00121887"/>
    <w:rsid w:val="00123116"/>
    <w:rsid w:val="0012463B"/>
    <w:rsid w:val="00126804"/>
    <w:rsid w:val="00127EEE"/>
    <w:rsid w:val="001313FE"/>
    <w:rsid w:val="00133BC6"/>
    <w:rsid w:val="001351F4"/>
    <w:rsid w:val="001359F8"/>
    <w:rsid w:val="00157817"/>
    <w:rsid w:val="001604EE"/>
    <w:rsid w:val="001632B6"/>
    <w:rsid w:val="00165EF9"/>
    <w:rsid w:val="00177E5B"/>
    <w:rsid w:val="00182411"/>
    <w:rsid w:val="00184224"/>
    <w:rsid w:val="00187C69"/>
    <w:rsid w:val="001918F7"/>
    <w:rsid w:val="001924CA"/>
    <w:rsid w:val="001963BC"/>
    <w:rsid w:val="00196DEC"/>
    <w:rsid w:val="001A32BB"/>
    <w:rsid w:val="001A5550"/>
    <w:rsid w:val="001A5C4E"/>
    <w:rsid w:val="001B5084"/>
    <w:rsid w:val="001C2799"/>
    <w:rsid w:val="001C284F"/>
    <w:rsid w:val="001C3519"/>
    <w:rsid w:val="001C7645"/>
    <w:rsid w:val="001D7316"/>
    <w:rsid w:val="001D7CB9"/>
    <w:rsid w:val="001E1136"/>
    <w:rsid w:val="001E2542"/>
    <w:rsid w:val="001E4531"/>
    <w:rsid w:val="001E569C"/>
    <w:rsid w:val="001E67EB"/>
    <w:rsid w:val="001F56B6"/>
    <w:rsid w:val="001F6639"/>
    <w:rsid w:val="001F66A4"/>
    <w:rsid w:val="001F7DA5"/>
    <w:rsid w:val="002001CE"/>
    <w:rsid w:val="0020032A"/>
    <w:rsid w:val="00200509"/>
    <w:rsid w:val="0020410B"/>
    <w:rsid w:val="00205C7A"/>
    <w:rsid w:val="00205F77"/>
    <w:rsid w:val="00206257"/>
    <w:rsid w:val="0021162B"/>
    <w:rsid w:val="00212687"/>
    <w:rsid w:val="00213CFB"/>
    <w:rsid w:val="00214CB1"/>
    <w:rsid w:val="00220011"/>
    <w:rsid w:val="0022073E"/>
    <w:rsid w:val="00221EBB"/>
    <w:rsid w:val="0022216A"/>
    <w:rsid w:val="0022235A"/>
    <w:rsid w:val="00222579"/>
    <w:rsid w:val="00222E68"/>
    <w:rsid w:val="00223BA7"/>
    <w:rsid w:val="0022594D"/>
    <w:rsid w:val="00225F37"/>
    <w:rsid w:val="00226510"/>
    <w:rsid w:val="00227341"/>
    <w:rsid w:val="002273B8"/>
    <w:rsid w:val="00235316"/>
    <w:rsid w:val="00241851"/>
    <w:rsid w:val="002438D4"/>
    <w:rsid w:val="00243C8F"/>
    <w:rsid w:val="002447ED"/>
    <w:rsid w:val="00244C7C"/>
    <w:rsid w:val="0024571D"/>
    <w:rsid w:val="00245AF4"/>
    <w:rsid w:val="00247680"/>
    <w:rsid w:val="00247721"/>
    <w:rsid w:val="002478EC"/>
    <w:rsid w:val="0025135E"/>
    <w:rsid w:val="002530A5"/>
    <w:rsid w:val="00253FA2"/>
    <w:rsid w:val="002544D9"/>
    <w:rsid w:val="00257479"/>
    <w:rsid w:val="00257D17"/>
    <w:rsid w:val="00261BCB"/>
    <w:rsid w:val="00263FD2"/>
    <w:rsid w:val="00265A4E"/>
    <w:rsid w:val="00274682"/>
    <w:rsid w:val="002746E8"/>
    <w:rsid w:val="002767BA"/>
    <w:rsid w:val="00284557"/>
    <w:rsid w:val="0028539D"/>
    <w:rsid w:val="0029085A"/>
    <w:rsid w:val="00296A81"/>
    <w:rsid w:val="002A0D75"/>
    <w:rsid w:val="002A1C02"/>
    <w:rsid w:val="002A1E95"/>
    <w:rsid w:val="002A24C9"/>
    <w:rsid w:val="002A3985"/>
    <w:rsid w:val="002A5650"/>
    <w:rsid w:val="002B0ED1"/>
    <w:rsid w:val="002C20B8"/>
    <w:rsid w:val="002C74C6"/>
    <w:rsid w:val="002D7EFE"/>
    <w:rsid w:val="002E5B45"/>
    <w:rsid w:val="002E6CCE"/>
    <w:rsid w:val="002F3DF1"/>
    <w:rsid w:val="00303185"/>
    <w:rsid w:val="00305E7C"/>
    <w:rsid w:val="00310509"/>
    <w:rsid w:val="00310E27"/>
    <w:rsid w:val="003129B6"/>
    <w:rsid w:val="00313E5B"/>
    <w:rsid w:val="00317932"/>
    <w:rsid w:val="00321562"/>
    <w:rsid w:val="003219BE"/>
    <w:rsid w:val="00321F7F"/>
    <w:rsid w:val="00323E14"/>
    <w:rsid w:val="00324B88"/>
    <w:rsid w:val="00332764"/>
    <w:rsid w:val="00333450"/>
    <w:rsid w:val="00335BE6"/>
    <w:rsid w:val="003413BF"/>
    <w:rsid w:val="003476BA"/>
    <w:rsid w:val="00352D3B"/>
    <w:rsid w:val="00354E92"/>
    <w:rsid w:val="00356637"/>
    <w:rsid w:val="00356A85"/>
    <w:rsid w:val="00363DD2"/>
    <w:rsid w:val="0036402F"/>
    <w:rsid w:val="00366308"/>
    <w:rsid w:val="00366453"/>
    <w:rsid w:val="00370BB8"/>
    <w:rsid w:val="00370F6D"/>
    <w:rsid w:val="00372E97"/>
    <w:rsid w:val="00376206"/>
    <w:rsid w:val="00376AA0"/>
    <w:rsid w:val="00377731"/>
    <w:rsid w:val="003821F7"/>
    <w:rsid w:val="003851F4"/>
    <w:rsid w:val="003853B9"/>
    <w:rsid w:val="00387F14"/>
    <w:rsid w:val="0039052C"/>
    <w:rsid w:val="00391A1E"/>
    <w:rsid w:val="00392006"/>
    <w:rsid w:val="003939FF"/>
    <w:rsid w:val="00395209"/>
    <w:rsid w:val="003A03C8"/>
    <w:rsid w:val="003A1FA2"/>
    <w:rsid w:val="003A50F3"/>
    <w:rsid w:val="003A75E8"/>
    <w:rsid w:val="003A7CBB"/>
    <w:rsid w:val="003B01B6"/>
    <w:rsid w:val="003B0F81"/>
    <w:rsid w:val="003B1069"/>
    <w:rsid w:val="003B5E69"/>
    <w:rsid w:val="003C0176"/>
    <w:rsid w:val="003C1D7A"/>
    <w:rsid w:val="003D0509"/>
    <w:rsid w:val="003D2CDE"/>
    <w:rsid w:val="003D5310"/>
    <w:rsid w:val="003D6015"/>
    <w:rsid w:val="003E0327"/>
    <w:rsid w:val="003E1BB8"/>
    <w:rsid w:val="003E3DC8"/>
    <w:rsid w:val="003E662A"/>
    <w:rsid w:val="003E67BC"/>
    <w:rsid w:val="003F4740"/>
    <w:rsid w:val="003F4879"/>
    <w:rsid w:val="003F5D88"/>
    <w:rsid w:val="004024DB"/>
    <w:rsid w:val="004063F2"/>
    <w:rsid w:val="00406515"/>
    <w:rsid w:val="00411D32"/>
    <w:rsid w:val="0041240E"/>
    <w:rsid w:val="0041283D"/>
    <w:rsid w:val="0042227D"/>
    <w:rsid w:val="0042258E"/>
    <w:rsid w:val="00422A1B"/>
    <w:rsid w:val="00422CF6"/>
    <w:rsid w:val="004248E2"/>
    <w:rsid w:val="0042757E"/>
    <w:rsid w:val="004278B9"/>
    <w:rsid w:val="004312CC"/>
    <w:rsid w:val="004410A5"/>
    <w:rsid w:val="0044351E"/>
    <w:rsid w:val="00444224"/>
    <w:rsid w:val="00444E98"/>
    <w:rsid w:val="004472EC"/>
    <w:rsid w:val="00447ACB"/>
    <w:rsid w:val="004516CE"/>
    <w:rsid w:val="00451B7C"/>
    <w:rsid w:val="00453458"/>
    <w:rsid w:val="0045762F"/>
    <w:rsid w:val="00461D9C"/>
    <w:rsid w:val="00465F90"/>
    <w:rsid w:val="004746E5"/>
    <w:rsid w:val="00477DE1"/>
    <w:rsid w:val="0048103B"/>
    <w:rsid w:val="00481638"/>
    <w:rsid w:val="00483DC7"/>
    <w:rsid w:val="00491495"/>
    <w:rsid w:val="004944E2"/>
    <w:rsid w:val="00497CBC"/>
    <w:rsid w:val="004A1EBF"/>
    <w:rsid w:val="004A3A6B"/>
    <w:rsid w:val="004B06F5"/>
    <w:rsid w:val="004B55FE"/>
    <w:rsid w:val="004C163F"/>
    <w:rsid w:val="004C2F26"/>
    <w:rsid w:val="004C4E90"/>
    <w:rsid w:val="004D4950"/>
    <w:rsid w:val="004D7ACF"/>
    <w:rsid w:val="004E0E38"/>
    <w:rsid w:val="004E2E90"/>
    <w:rsid w:val="004E3616"/>
    <w:rsid w:val="004E4BE3"/>
    <w:rsid w:val="004E62CE"/>
    <w:rsid w:val="004E65C1"/>
    <w:rsid w:val="004E6D06"/>
    <w:rsid w:val="004F0AB0"/>
    <w:rsid w:val="004F19CD"/>
    <w:rsid w:val="004F70DD"/>
    <w:rsid w:val="00501109"/>
    <w:rsid w:val="005013ED"/>
    <w:rsid w:val="00501B20"/>
    <w:rsid w:val="00501EA1"/>
    <w:rsid w:val="00502AA3"/>
    <w:rsid w:val="00503B9D"/>
    <w:rsid w:val="00504624"/>
    <w:rsid w:val="00506467"/>
    <w:rsid w:val="0051140D"/>
    <w:rsid w:val="00512E60"/>
    <w:rsid w:val="00516397"/>
    <w:rsid w:val="00523486"/>
    <w:rsid w:val="0052541E"/>
    <w:rsid w:val="0052643E"/>
    <w:rsid w:val="00532701"/>
    <w:rsid w:val="00536274"/>
    <w:rsid w:val="0053707C"/>
    <w:rsid w:val="005376D1"/>
    <w:rsid w:val="0054767D"/>
    <w:rsid w:val="005551F3"/>
    <w:rsid w:val="0055589D"/>
    <w:rsid w:val="00561344"/>
    <w:rsid w:val="00561407"/>
    <w:rsid w:val="00563FE1"/>
    <w:rsid w:val="00564BFD"/>
    <w:rsid w:val="00566701"/>
    <w:rsid w:val="00567EDF"/>
    <w:rsid w:val="00572ED8"/>
    <w:rsid w:val="00573933"/>
    <w:rsid w:val="005772F1"/>
    <w:rsid w:val="00585990"/>
    <w:rsid w:val="00585CE2"/>
    <w:rsid w:val="005863A3"/>
    <w:rsid w:val="00590561"/>
    <w:rsid w:val="0059254A"/>
    <w:rsid w:val="00593C53"/>
    <w:rsid w:val="00594C8D"/>
    <w:rsid w:val="0059559B"/>
    <w:rsid w:val="005A0A68"/>
    <w:rsid w:val="005A2647"/>
    <w:rsid w:val="005A3C34"/>
    <w:rsid w:val="005A7425"/>
    <w:rsid w:val="005B267A"/>
    <w:rsid w:val="005B3D4D"/>
    <w:rsid w:val="005B61E6"/>
    <w:rsid w:val="005C02D2"/>
    <w:rsid w:val="005D1E89"/>
    <w:rsid w:val="005D36CA"/>
    <w:rsid w:val="005E62FC"/>
    <w:rsid w:val="005E6D79"/>
    <w:rsid w:val="005E73C2"/>
    <w:rsid w:val="005F1F82"/>
    <w:rsid w:val="005F39D2"/>
    <w:rsid w:val="005F3F16"/>
    <w:rsid w:val="005F4A49"/>
    <w:rsid w:val="005F7A22"/>
    <w:rsid w:val="005F7EB9"/>
    <w:rsid w:val="006007A2"/>
    <w:rsid w:val="006029ED"/>
    <w:rsid w:val="006041C5"/>
    <w:rsid w:val="00607A75"/>
    <w:rsid w:val="006105A3"/>
    <w:rsid w:val="006106D9"/>
    <w:rsid w:val="00611E18"/>
    <w:rsid w:val="00613A27"/>
    <w:rsid w:val="00615385"/>
    <w:rsid w:val="00620E5E"/>
    <w:rsid w:val="006226E8"/>
    <w:rsid w:val="0062634C"/>
    <w:rsid w:val="006269FF"/>
    <w:rsid w:val="00635F64"/>
    <w:rsid w:val="00651251"/>
    <w:rsid w:val="00651767"/>
    <w:rsid w:val="00652A6A"/>
    <w:rsid w:val="00653E74"/>
    <w:rsid w:val="006625BB"/>
    <w:rsid w:val="0066495E"/>
    <w:rsid w:val="00665705"/>
    <w:rsid w:val="00666098"/>
    <w:rsid w:val="006676A7"/>
    <w:rsid w:val="00671C07"/>
    <w:rsid w:val="00671CA8"/>
    <w:rsid w:val="0067223B"/>
    <w:rsid w:val="006722EE"/>
    <w:rsid w:val="006726A0"/>
    <w:rsid w:val="00673A47"/>
    <w:rsid w:val="00674A6B"/>
    <w:rsid w:val="00675FE0"/>
    <w:rsid w:val="006764DE"/>
    <w:rsid w:val="00676B81"/>
    <w:rsid w:val="00676CCA"/>
    <w:rsid w:val="00680160"/>
    <w:rsid w:val="00685391"/>
    <w:rsid w:val="00685D83"/>
    <w:rsid w:val="00687592"/>
    <w:rsid w:val="00692D84"/>
    <w:rsid w:val="00692F56"/>
    <w:rsid w:val="00694B97"/>
    <w:rsid w:val="006A3167"/>
    <w:rsid w:val="006A7DE5"/>
    <w:rsid w:val="006C2A5E"/>
    <w:rsid w:val="006C301D"/>
    <w:rsid w:val="006C4E5D"/>
    <w:rsid w:val="006C7BCE"/>
    <w:rsid w:val="006D1752"/>
    <w:rsid w:val="006D31FB"/>
    <w:rsid w:val="006D5F2A"/>
    <w:rsid w:val="006E06FA"/>
    <w:rsid w:val="006E0E1B"/>
    <w:rsid w:val="006E67ED"/>
    <w:rsid w:val="006E6FD6"/>
    <w:rsid w:val="006F08B2"/>
    <w:rsid w:val="006F136B"/>
    <w:rsid w:val="006F1DED"/>
    <w:rsid w:val="00700B45"/>
    <w:rsid w:val="007022E9"/>
    <w:rsid w:val="00702A89"/>
    <w:rsid w:val="00704FB0"/>
    <w:rsid w:val="00711A22"/>
    <w:rsid w:val="00711C17"/>
    <w:rsid w:val="0071365E"/>
    <w:rsid w:val="00715850"/>
    <w:rsid w:val="00721FAA"/>
    <w:rsid w:val="007224A6"/>
    <w:rsid w:val="007263F5"/>
    <w:rsid w:val="00727D1F"/>
    <w:rsid w:val="00731A05"/>
    <w:rsid w:val="007322B1"/>
    <w:rsid w:val="00732B7F"/>
    <w:rsid w:val="00733D97"/>
    <w:rsid w:val="00740C1E"/>
    <w:rsid w:val="00745499"/>
    <w:rsid w:val="00745DFF"/>
    <w:rsid w:val="0074656A"/>
    <w:rsid w:val="007478F6"/>
    <w:rsid w:val="00756CD0"/>
    <w:rsid w:val="007629CD"/>
    <w:rsid w:val="007668B7"/>
    <w:rsid w:val="00770E26"/>
    <w:rsid w:val="00775597"/>
    <w:rsid w:val="007766A1"/>
    <w:rsid w:val="00783086"/>
    <w:rsid w:val="007913EC"/>
    <w:rsid w:val="00791FC3"/>
    <w:rsid w:val="007932D4"/>
    <w:rsid w:val="0079743E"/>
    <w:rsid w:val="007A3146"/>
    <w:rsid w:val="007A54BE"/>
    <w:rsid w:val="007B21CA"/>
    <w:rsid w:val="007B4C64"/>
    <w:rsid w:val="007B7FDB"/>
    <w:rsid w:val="007D3276"/>
    <w:rsid w:val="007D41D9"/>
    <w:rsid w:val="007D539D"/>
    <w:rsid w:val="007E0586"/>
    <w:rsid w:val="007E0DB2"/>
    <w:rsid w:val="007E174D"/>
    <w:rsid w:val="007E1D11"/>
    <w:rsid w:val="007E456C"/>
    <w:rsid w:val="007E6A9D"/>
    <w:rsid w:val="007E7CA0"/>
    <w:rsid w:val="007F6432"/>
    <w:rsid w:val="007F7455"/>
    <w:rsid w:val="00805C5D"/>
    <w:rsid w:val="00811236"/>
    <w:rsid w:val="0081177D"/>
    <w:rsid w:val="00813926"/>
    <w:rsid w:val="00815385"/>
    <w:rsid w:val="00817D56"/>
    <w:rsid w:val="00826E1D"/>
    <w:rsid w:val="008303B5"/>
    <w:rsid w:val="00830D4C"/>
    <w:rsid w:val="00833D36"/>
    <w:rsid w:val="008364EF"/>
    <w:rsid w:val="00837AFE"/>
    <w:rsid w:val="00841646"/>
    <w:rsid w:val="0084630A"/>
    <w:rsid w:val="00847843"/>
    <w:rsid w:val="00850EAF"/>
    <w:rsid w:val="00852019"/>
    <w:rsid w:val="00853DB6"/>
    <w:rsid w:val="00854FAD"/>
    <w:rsid w:val="0085677C"/>
    <w:rsid w:val="00857954"/>
    <w:rsid w:val="008625C0"/>
    <w:rsid w:val="00864304"/>
    <w:rsid w:val="00864EAC"/>
    <w:rsid w:val="008672CC"/>
    <w:rsid w:val="00870E7C"/>
    <w:rsid w:val="008759DA"/>
    <w:rsid w:val="00876D33"/>
    <w:rsid w:val="0087790C"/>
    <w:rsid w:val="008861AC"/>
    <w:rsid w:val="00886AF7"/>
    <w:rsid w:val="0089343A"/>
    <w:rsid w:val="00897598"/>
    <w:rsid w:val="00897908"/>
    <w:rsid w:val="00897B5C"/>
    <w:rsid w:val="00897D52"/>
    <w:rsid w:val="008A02FA"/>
    <w:rsid w:val="008A3765"/>
    <w:rsid w:val="008A3E0B"/>
    <w:rsid w:val="008A5399"/>
    <w:rsid w:val="008A5989"/>
    <w:rsid w:val="008B0F0D"/>
    <w:rsid w:val="008B131F"/>
    <w:rsid w:val="008B55D2"/>
    <w:rsid w:val="008B6ADC"/>
    <w:rsid w:val="008B71EA"/>
    <w:rsid w:val="008C188C"/>
    <w:rsid w:val="008C2D64"/>
    <w:rsid w:val="008C36B0"/>
    <w:rsid w:val="008D1339"/>
    <w:rsid w:val="008D27DC"/>
    <w:rsid w:val="008D373F"/>
    <w:rsid w:val="008D37D3"/>
    <w:rsid w:val="008E0109"/>
    <w:rsid w:val="008E246A"/>
    <w:rsid w:val="008F110D"/>
    <w:rsid w:val="008F1698"/>
    <w:rsid w:val="008F16BA"/>
    <w:rsid w:val="008F36F3"/>
    <w:rsid w:val="00907BFB"/>
    <w:rsid w:val="0091330C"/>
    <w:rsid w:val="00914524"/>
    <w:rsid w:val="0091535D"/>
    <w:rsid w:val="009171F7"/>
    <w:rsid w:val="009208B2"/>
    <w:rsid w:val="0092425C"/>
    <w:rsid w:val="00925355"/>
    <w:rsid w:val="00933136"/>
    <w:rsid w:val="00934049"/>
    <w:rsid w:val="00935A30"/>
    <w:rsid w:val="00935F73"/>
    <w:rsid w:val="00945247"/>
    <w:rsid w:val="00946B48"/>
    <w:rsid w:val="00946BED"/>
    <w:rsid w:val="0095301B"/>
    <w:rsid w:val="00953970"/>
    <w:rsid w:val="009551D4"/>
    <w:rsid w:val="00957DF6"/>
    <w:rsid w:val="00964976"/>
    <w:rsid w:val="009653DB"/>
    <w:rsid w:val="00967BE7"/>
    <w:rsid w:val="00967DB6"/>
    <w:rsid w:val="009720B8"/>
    <w:rsid w:val="009730B5"/>
    <w:rsid w:val="009736D7"/>
    <w:rsid w:val="00974306"/>
    <w:rsid w:val="009746FA"/>
    <w:rsid w:val="00975172"/>
    <w:rsid w:val="009773C2"/>
    <w:rsid w:val="009774B6"/>
    <w:rsid w:val="0097778B"/>
    <w:rsid w:val="00977DF2"/>
    <w:rsid w:val="00983A4D"/>
    <w:rsid w:val="0098673A"/>
    <w:rsid w:val="00987589"/>
    <w:rsid w:val="00991B7A"/>
    <w:rsid w:val="00994D0F"/>
    <w:rsid w:val="009A150B"/>
    <w:rsid w:val="009A4B4C"/>
    <w:rsid w:val="009A7D23"/>
    <w:rsid w:val="009B1D9C"/>
    <w:rsid w:val="009B1F21"/>
    <w:rsid w:val="009B3735"/>
    <w:rsid w:val="009C2A95"/>
    <w:rsid w:val="009C5ACE"/>
    <w:rsid w:val="009C744C"/>
    <w:rsid w:val="009C7CC6"/>
    <w:rsid w:val="009D2E7A"/>
    <w:rsid w:val="009E3319"/>
    <w:rsid w:val="009E4181"/>
    <w:rsid w:val="009E4B00"/>
    <w:rsid w:val="009E590C"/>
    <w:rsid w:val="009E6400"/>
    <w:rsid w:val="009F1348"/>
    <w:rsid w:val="00A01DAC"/>
    <w:rsid w:val="00A068D0"/>
    <w:rsid w:val="00A11227"/>
    <w:rsid w:val="00A14D46"/>
    <w:rsid w:val="00A219A3"/>
    <w:rsid w:val="00A27B36"/>
    <w:rsid w:val="00A3672E"/>
    <w:rsid w:val="00A378C3"/>
    <w:rsid w:val="00A425A5"/>
    <w:rsid w:val="00A451D6"/>
    <w:rsid w:val="00A54D65"/>
    <w:rsid w:val="00A55D86"/>
    <w:rsid w:val="00A57446"/>
    <w:rsid w:val="00A57BFC"/>
    <w:rsid w:val="00A62BAC"/>
    <w:rsid w:val="00A74196"/>
    <w:rsid w:val="00A760AF"/>
    <w:rsid w:val="00A77CFB"/>
    <w:rsid w:val="00A81BA1"/>
    <w:rsid w:val="00A83BF6"/>
    <w:rsid w:val="00A856F4"/>
    <w:rsid w:val="00A94091"/>
    <w:rsid w:val="00A94306"/>
    <w:rsid w:val="00A945F7"/>
    <w:rsid w:val="00A968F2"/>
    <w:rsid w:val="00AA1075"/>
    <w:rsid w:val="00AA3778"/>
    <w:rsid w:val="00AA3960"/>
    <w:rsid w:val="00AB0322"/>
    <w:rsid w:val="00AB05B5"/>
    <w:rsid w:val="00AB1144"/>
    <w:rsid w:val="00AB3D3A"/>
    <w:rsid w:val="00AB639C"/>
    <w:rsid w:val="00AC0C17"/>
    <w:rsid w:val="00AC2988"/>
    <w:rsid w:val="00AC71F2"/>
    <w:rsid w:val="00AC7B7F"/>
    <w:rsid w:val="00AD0FE7"/>
    <w:rsid w:val="00AD1D7C"/>
    <w:rsid w:val="00AE32ED"/>
    <w:rsid w:val="00AE54C6"/>
    <w:rsid w:val="00AE5618"/>
    <w:rsid w:val="00AE5A14"/>
    <w:rsid w:val="00AF1D2D"/>
    <w:rsid w:val="00AF435A"/>
    <w:rsid w:val="00B04D17"/>
    <w:rsid w:val="00B05A80"/>
    <w:rsid w:val="00B2206F"/>
    <w:rsid w:val="00B25784"/>
    <w:rsid w:val="00B264C2"/>
    <w:rsid w:val="00B332D4"/>
    <w:rsid w:val="00B34653"/>
    <w:rsid w:val="00B40206"/>
    <w:rsid w:val="00B41F2C"/>
    <w:rsid w:val="00B45CB3"/>
    <w:rsid w:val="00B46202"/>
    <w:rsid w:val="00B4655B"/>
    <w:rsid w:val="00B46CEB"/>
    <w:rsid w:val="00B512B8"/>
    <w:rsid w:val="00B6184C"/>
    <w:rsid w:val="00B626DC"/>
    <w:rsid w:val="00B654B5"/>
    <w:rsid w:val="00B73A5F"/>
    <w:rsid w:val="00B74865"/>
    <w:rsid w:val="00B75B7E"/>
    <w:rsid w:val="00B82DFA"/>
    <w:rsid w:val="00B83FAA"/>
    <w:rsid w:val="00B912F7"/>
    <w:rsid w:val="00B91644"/>
    <w:rsid w:val="00B93C5D"/>
    <w:rsid w:val="00BA64D0"/>
    <w:rsid w:val="00BA7BCF"/>
    <w:rsid w:val="00BB321C"/>
    <w:rsid w:val="00BB6299"/>
    <w:rsid w:val="00BB6AD1"/>
    <w:rsid w:val="00BB73F4"/>
    <w:rsid w:val="00BC02E7"/>
    <w:rsid w:val="00BD619F"/>
    <w:rsid w:val="00BE1061"/>
    <w:rsid w:val="00BE3A9D"/>
    <w:rsid w:val="00BE64F3"/>
    <w:rsid w:val="00BE760E"/>
    <w:rsid w:val="00BF2DE2"/>
    <w:rsid w:val="00BF4092"/>
    <w:rsid w:val="00BF6FB5"/>
    <w:rsid w:val="00C05E04"/>
    <w:rsid w:val="00C06909"/>
    <w:rsid w:val="00C1007B"/>
    <w:rsid w:val="00C1130B"/>
    <w:rsid w:val="00C117DA"/>
    <w:rsid w:val="00C1270A"/>
    <w:rsid w:val="00C14838"/>
    <w:rsid w:val="00C15CF8"/>
    <w:rsid w:val="00C15EA7"/>
    <w:rsid w:val="00C21808"/>
    <w:rsid w:val="00C22C17"/>
    <w:rsid w:val="00C244AF"/>
    <w:rsid w:val="00C26C08"/>
    <w:rsid w:val="00C27789"/>
    <w:rsid w:val="00C277E1"/>
    <w:rsid w:val="00C277EF"/>
    <w:rsid w:val="00C3054E"/>
    <w:rsid w:val="00C3197E"/>
    <w:rsid w:val="00C338FE"/>
    <w:rsid w:val="00C35AB0"/>
    <w:rsid w:val="00C35D8F"/>
    <w:rsid w:val="00C3698F"/>
    <w:rsid w:val="00C37891"/>
    <w:rsid w:val="00C413C7"/>
    <w:rsid w:val="00C45614"/>
    <w:rsid w:val="00C47895"/>
    <w:rsid w:val="00C50458"/>
    <w:rsid w:val="00C520EB"/>
    <w:rsid w:val="00C62F7C"/>
    <w:rsid w:val="00C65175"/>
    <w:rsid w:val="00C83772"/>
    <w:rsid w:val="00C83821"/>
    <w:rsid w:val="00C96B91"/>
    <w:rsid w:val="00C96DF0"/>
    <w:rsid w:val="00CB222C"/>
    <w:rsid w:val="00CB3E6D"/>
    <w:rsid w:val="00CB4BC7"/>
    <w:rsid w:val="00CB4EA7"/>
    <w:rsid w:val="00CB5F83"/>
    <w:rsid w:val="00CB71EF"/>
    <w:rsid w:val="00CC1177"/>
    <w:rsid w:val="00CC2DBE"/>
    <w:rsid w:val="00CC3372"/>
    <w:rsid w:val="00CC7D3F"/>
    <w:rsid w:val="00CD5911"/>
    <w:rsid w:val="00CD6F8C"/>
    <w:rsid w:val="00CD7BF7"/>
    <w:rsid w:val="00CE08C5"/>
    <w:rsid w:val="00CE2E5D"/>
    <w:rsid w:val="00CE2E8A"/>
    <w:rsid w:val="00CE5245"/>
    <w:rsid w:val="00CE6ECD"/>
    <w:rsid w:val="00CF04A8"/>
    <w:rsid w:val="00CF2BA4"/>
    <w:rsid w:val="00CF2CDD"/>
    <w:rsid w:val="00D002B6"/>
    <w:rsid w:val="00D0448D"/>
    <w:rsid w:val="00D049C1"/>
    <w:rsid w:val="00D06C95"/>
    <w:rsid w:val="00D0787B"/>
    <w:rsid w:val="00D10B81"/>
    <w:rsid w:val="00D12117"/>
    <w:rsid w:val="00D168EF"/>
    <w:rsid w:val="00D173A7"/>
    <w:rsid w:val="00D174B3"/>
    <w:rsid w:val="00D302E7"/>
    <w:rsid w:val="00D348EB"/>
    <w:rsid w:val="00D44385"/>
    <w:rsid w:val="00D51991"/>
    <w:rsid w:val="00D63CC4"/>
    <w:rsid w:val="00D70A17"/>
    <w:rsid w:val="00D70AE0"/>
    <w:rsid w:val="00D714E1"/>
    <w:rsid w:val="00D71C11"/>
    <w:rsid w:val="00D7466C"/>
    <w:rsid w:val="00D80038"/>
    <w:rsid w:val="00D80CB3"/>
    <w:rsid w:val="00D80D14"/>
    <w:rsid w:val="00D87D8A"/>
    <w:rsid w:val="00D87F2F"/>
    <w:rsid w:val="00D9533C"/>
    <w:rsid w:val="00D95BCA"/>
    <w:rsid w:val="00D9740B"/>
    <w:rsid w:val="00DA112D"/>
    <w:rsid w:val="00DA17C8"/>
    <w:rsid w:val="00DA3C87"/>
    <w:rsid w:val="00DA3CF1"/>
    <w:rsid w:val="00DA3E02"/>
    <w:rsid w:val="00DA3E8B"/>
    <w:rsid w:val="00DB2AA4"/>
    <w:rsid w:val="00DB34B4"/>
    <w:rsid w:val="00DC2A5A"/>
    <w:rsid w:val="00DC79ED"/>
    <w:rsid w:val="00DD0FAD"/>
    <w:rsid w:val="00DD1C88"/>
    <w:rsid w:val="00DD2778"/>
    <w:rsid w:val="00DD77FF"/>
    <w:rsid w:val="00DD7D52"/>
    <w:rsid w:val="00DE21E8"/>
    <w:rsid w:val="00DE2831"/>
    <w:rsid w:val="00DE3DA8"/>
    <w:rsid w:val="00DE3EF6"/>
    <w:rsid w:val="00DE3F56"/>
    <w:rsid w:val="00DE4D86"/>
    <w:rsid w:val="00DE5159"/>
    <w:rsid w:val="00DF239F"/>
    <w:rsid w:val="00DF2DEC"/>
    <w:rsid w:val="00DF3BCD"/>
    <w:rsid w:val="00DF4E1E"/>
    <w:rsid w:val="00DF7F66"/>
    <w:rsid w:val="00E025E6"/>
    <w:rsid w:val="00E02F20"/>
    <w:rsid w:val="00E0334D"/>
    <w:rsid w:val="00E04AD7"/>
    <w:rsid w:val="00E0512F"/>
    <w:rsid w:val="00E05B70"/>
    <w:rsid w:val="00E108D8"/>
    <w:rsid w:val="00E127B1"/>
    <w:rsid w:val="00E15EC9"/>
    <w:rsid w:val="00E2033D"/>
    <w:rsid w:val="00E21589"/>
    <w:rsid w:val="00E23724"/>
    <w:rsid w:val="00E242E2"/>
    <w:rsid w:val="00E269EF"/>
    <w:rsid w:val="00E26AE4"/>
    <w:rsid w:val="00E26B40"/>
    <w:rsid w:val="00E34303"/>
    <w:rsid w:val="00E40601"/>
    <w:rsid w:val="00E4450F"/>
    <w:rsid w:val="00E45DB0"/>
    <w:rsid w:val="00E46A75"/>
    <w:rsid w:val="00E50D9F"/>
    <w:rsid w:val="00E5335C"/>
    <w:rsid w:val="00E53723"/>
    <w:rsid w:val="00E53733"/>
    <w:rsid w:val="00E619FA"/>
    <w:rsid w:val="00E63C07"/>
    <w:rsid w:val="00E67030"/>
    <w:rsid w:val="00E67543"/>
    <w:rsid w:val="00E67C35"/>
    <w:rsid w:val="00E7091B"/>
    <w:rsid w:val="00E70F86"/>
    <w:rsid w:val="00E725D0"/>
    <w:rsid w:val="00E7455D"/>
    <w:rsid w:val="00E76FCE"/>
    <w:rsid w:val="00E80E1F"/>
    <w:rsid w:val="00E848FB"/>
    <w:rsid w:val="00E86D92"/>
    <w:rsid w:val="00E876E8"/>
    <w:rsid w:val="00E92381"/>
    <w:rsid w:val="00EA0EF8"/>
    <w:rsid w:val="00EA20E4"/>
    <w:rsid w:val="00EA4AD3"/>
    <w:rsid w:val="00EB025A"/>
    <w:rsid w:val="00EB665F"/>
    <w:rsid w:val="00EC03D2"/>
    <w:rsid w:val="00EC0C81"/>
    <w:rsid w:val="00EC24DE"/>
    <w:rsid w:val="00EC3043"/>
    <w:rsid w:val="00ED0478"/>
    <w:rsid w:val="00ED6912"/>
    <w:rsid w:val="00EE1E5D"/>
    <w:rsid w:val="00EE5874"/>
    <w:rsid w:val="00EF4656"/>
    <w:rsid w:val="00EF5C8A"/>
    <w:rsid w:val="00EF5D88"/>
    <w:rsid w:val="00EF7F04"/>
    <w:rsid w:val="00F04042"/>
    <w:rsid w:val="00F07F89"/>
    <w:rsid w:val="00F07FC1"/>
    <w:rsid w:val="00F107F2"/>
    <w:rsid w:val="00F12EB2"/>
    <w:rsid w:val="00F132BD"/>
    <w:rsid w:val="00F140E6"/>
    <w:rsid w:val="00F23A4F"/>
    <w:rsid w:val="00F25DB4"/>
    <w:rsid w:val="00F26194"/>
    <w:rsid w:val="00F27B20"/>
    <w:rsid w:val="00F30330"/>
    <w:rsid w:val="00F3208D"/>
    <w:rsid w:val="00F33EB9"/>
    <w:rsid w:val="00F341FC"/>
    <w:rsid w:val="00F349D1"/>
    <w:rsid w:val="00F35444"/>
    <w:rsid w:val="00F37074"/>
    <w:rsid w:val="00F50119"/>
    <w:rsid w:val="00F54554"/>
    <w:rsid w:val="00F55296"/>
    <w:rsid w:val="00F5681D"/>
    <w:rsid w:val="00F70768"/>
    <w:rsid w:val="00F73DBB"/>
    <w:rsid w:val="00F74ADF"/>
    <w:rsid w:val="00F77DD9"/>
    <w:rsid w:val="00F81FD0"/>
    <w:rsid w:val="00F85CA3"/>
    <w:rsid w:val="00F876A9"/>
    <w:rsid w:val="00F90110"/>
    <w:rsid w:val="00F97F5A"/>
    <w:rsid w:val="00FA0652"/>
    <w:rsid w:val="00FA2B0A"/>
    <w:rsid w:val="00FA5C28"/>
    <w:rsid w:val="00FA789E"/>
    <w:rsid w:val="00FA7DCE"/>
    <w:rsid w:val="00FB0178"/>
    <w:rsid w:val="00FB1DF0"/>
    <w:rsid w:val="00FB231E"/>
    <w:rsid w:val="00FC14D8"/>
    <w:rsid w:val="00FC2AD1"/>
    <w:rsid w:val="00FC3989"/>
    <w:rsid w:val="00FC3D36"/>
    <w:rsid w:val="00FD0363"/>
    <w:rsid w:val="00FD46A7"/>
    <w:rsid w:val="00FD7FB4"/>
    <w:rsid w:val="00FE77CB"/>
    <w:rsid w:val="00FF4BF8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025FD-39E6-4F83-8798-40F1C020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BA1"/>
  </w:style>
  <w:style w:type="paragraph" w:styleId="Piedepgina">
    <w:name w:val="footer"/>
    <w:basedOn w:val="Normal"/>
    <w:link w:val="PiedepginaCar"/>
    <w:uiPriority w:val="99"/>
    <w:unhideWhenUsed/>
    <w:rsid w:val="00A8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BA1"/>
  </w:style>
  <w:style w:type="paragraph" w:styleId="Textodeglobo">
    <w:name w:val="Balloon Text"/>
    <w:basedOn w:val="Normal"/>
    <w:link w:val="TextodegloboCar"/>
    <w:uiPriority w:val="99"/>
    <w:semiHidden/>
    <w:unhideWhenUsed/>
    <w:rsid w:val="00A8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81B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3985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666098"/>
    <w:pPr>
      <w:autoSpaceDE w:val="0"/>
      <w:autoSpaceDN w:val="0"/>
      <w:adjustRightInd w:val="0"/>
      <w:spacing w:before="240" w:after="0" w:line="240" w:lineRule="auto"/>
    </w:pPr>
    <w:rPr>
      <w:rFonts w:ascii="Verdana" w:eastAsia="Times New Roman" w:hAnsi="Verdana" w:cs="Times New Roman"/>
      <w:color w:val="000000"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66098"/>
    <w:rPr>
      <w:rFonts w:ascii="Verdana" w:eastAsia="Times New Roman" w:hAnsi="Verdana" w:cs="Times New Roman"/>
      <w:color w:val="000000"/>
      <w:sz w:val="36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66609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32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93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270A"/>
    <w:pPr>
      <w:spacing w:after="0" w:line="240" w:lineRule="auto"/>
    </w:pPr>
  </w:style>
  <w:style w:type="paragraph" w:customStyle="1" w:styleId="CM7">
    <w:name w:val="CM7"/>
    <w:basedOn w:val="Normal"/>
    <w:next w:val="Normal"/>
    <w:uiPriority w:val="99"/>
    <w:rsid w:val="003E67BC"/>
    <w:pPr>
      <w:widowControl w:val="0"/>
      <w:autoSpaceDE w:val="0"/>
      <w:autoSpaceDN w:val="0"/>
      <w:adjustRightInd w:val="0"/>
      <w:spacing w:after="243" w:line="240" w:lineRule="auto"/>
    </w:pPr>
    <w:rPr>
      <w:rFonts w:ascii="Helvetica" w:eastAsia="Times New Roman" w:hAnsi="Helvetica" w:cs="Helvetica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E4D86"/>
  </w:style>
  <w:style w:type="paragraph" w:styleId="NormalWeb">
    <w:name w:val="Normal (Web)"/>
    <w:basedOn w:val="Normal"/>
    <w:uiPriority w:val="99"/>
    <w:unhideWhenUsed/>
    <w:rsid w:val="006E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E7FA-F61F-43C0-853A-46617B02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BMN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Raúl Jiménez Sánchez</dc:creator>
  <cp:lastModifiedBy>Valvanera Lecha</cp:lastModifiedBy>
  <cp:revision>2</cp:revision>
  <cp:lastPrinted>2016-05-13T08:34:00Z</cp:lastPrinted>
  <dcterms:created xsi:type="dcterms:W3CDTF">2016-05-20T09:16:00Z</dcterms:created>
  <dcterms:modified xsi:type="dcterms:W3CDTF">2016-05-20T09:16:00Z</dcterms:modified>
</cp:coreProperties>
</file>